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AEB" w:rsidRDefault="000C2D9D">
      <w:pPr>
        <w:tabs>
          <w:tab w:val="left" w:pos="1800"/>
          <w:tab w:val="right" w:pos="9072"/>
        </w:tabs>
        <w:spacing w:after="0" w:line="240" w:lineRule="auto"/>
        <w:rPr>
          <w:b/>
          <w:bCs/>
          <w:sz w:val="22"/>
          <w:szCs w:val="22"/>
        </w:rPr>
      </w:pPr>
      <w:r>
        <w:rPr>
          <w:b/>
          <w:bCs/>
          <w:sz w:val="22"/>
          <w:szCs w:val="22"/>
        </w:rPr>
        <w:t>3GPP TSG RAN WG1 #110bis                                                          R1-2208856</w:t>
      </w:r>
    </w:p>
    <w:p w:rsidR="003D7AEB" w:rsidRDefault="000C2D9D">
      <w:pPr>
        <w:spacing w:after="0" w:line="240" w:lineRule="auto"/>
        <w:rPr>
          <w:rFonts w:eastAsia="Batang"/>
          <w:sz w:val="22"/>
          <w:szCs w:val="22"/>
        </w:rPr>
      </w:pPr>
      <w:r>
        <w:rPr>
          <w:rFonts w:eastAsia="MS Mincho"/>
          <w:b/>
          <w:bCs/>
          <w:sz w:val="22"/>
          <w:szCs w:val="22"/>
        </w:rPr>
        <w:t>e-meeting, October 10</w:t>
      </w:r>
      <w:r>
        <w:rPr>
          <w:rFonts w:eastAsia="MS Mincho"/>
          <w:b/>
          <w:bCs/>
          <w:sz w:val="22"/>
          <w:szCs w:val="22"/>
          <w:vertAlign w:val="superscript"/>
        </w:rPr>
        <w:t>th</w:t>
      </w:r>
      <w:r>
        <w:rPr>
          <w:rFonts w:eastAsia="MS Mincho"/>
          <w:b/>
          <w:bCs/>
          <w:sz w:val="22"/>
          <w:szCs w:val="22"/>
        </w:rPr>
        <w:t xml:space="preserve"> – 19</w:t>
      </w:r>
      <w:r>
        <w:rPr>
          <w:rFonts w:eastAsia="MS Mincho"/>
          <w:b/>
          <w:bCs/>
          <w:sz w:val="22"/>
          <w:szCs w:val="22"/>
          <w:vertAlign w:val="superscript"/>
        </w:rPr>
        <w:t>th</w:t>
      </w:r>
      <w:r>
        <w:rPr>
          <w:b/>
          <w:bCs/>
          <w:sz w:val="22"/>
          <w:szCs w:val="22"/>
        </w:rPr>
        <w:t>, 2022</w:t>
      </w:r>
    </w:p>
    <w:p w:rsidR="003D7AEB" w:rsidRDefault="003D7AEB">
      <w:pPr>
        <w:pStyle w:val="Header"/>
        <w:rPr>
          <w:rFonts w:ascii="Times New Roman" w:eastAsiaTheme="minorEastAsia" w:hAnsi="Times New Roman"/>
          <w:color w:val="000000" w:themeColor="text1"/>
          <w:sz w:val="22"/>
          <w:szCs w:val="22"/>
          <w:lang w:eastAsia="zh-CN"/>
        </w:rPr>
      </w:pPr>
    </w:p>
    <w:p w:rsidR="003D7AEB" w:rsidRDefault="000C2D9D">
      <w:pPr>
        <w:pStyle w:val="Header"/>
        <w:tabs>
          <w:tab w:val="clear" w:pos="4536"/>
          <w:tab w:val="left" w:pos="1800"/>
        </w:tabs>
        <w:ind w:left="1800" w:hanging="1800"/>
        <w:rPr>
          <w:rFonts w:ascii="Times New Roman" w:eastAsia="SimSun" w:hAnsi="Times New Roman"/>
          <w:color w:val="000000" w:themeColor="text1"/>
          <w:sz w:val="22"/>
          <w:szCs w:val="22"/>
          <w:lang w:eastAsia="zh-CN"/>
        </w:rPr>
      </w:pPr>
      <w:r>
        <w:rPr>
          <w:rFonts w:ascii="Times New Roman" w:hAnsi="Times New Roman"/>
          <w:color w:val="000000" w:themeColor="text1"/>
          <w:sz w:val="22"/>
          <w:szCs w:val="22"/>
        </w:rPr>
        <w:t>Source:</w:t>
      </w:r>
      <w:r>
        <w:rPr>
          <w:rFonts w:ascii="Times New Roman" w:hAnsi="Times New Roman"/>
          <w:color w:val="000000" w:themeColor="text1"/>
          <w:sz w:val="22"/>
          <w:szCs w:val="22"/>
        </w:rPr>
        <w:tab/>
      </w:r>
      <w:r>
        <w:rPr>
          <w:rFonts w:ascii="Times New Roman" w:eastAsia="SimSun" w:hAnsi="Times New Roman"/>
          <w:color w:val="000000" w:themeColor="text1"/>
          <w:sz w:val="22"/>
          <w:szCs w:val="22"/>
          <w:lang w:eastAsia="zh-CN"/>
        </w:rPr>
        <w:t>OPPO</w:t>
      </w:r>
    </w:p>
    <w:p w:rsidR="003D7AEB" w:rsidRDefault="000C2D9D">
      <w:pPr>
        <w:pStyle w:val="Header"/>
        <w:tabs>
          <w:tab w:val="clear" w:pos="4536"/>
        </w:tabs>
        <w:ind w:left="1800" w:hangingChars="815" w:hanging="1800"/>
        <w:rPr>
          <w:rFonts w:ascii="Times New Roman" w:eastAsia="SimSun" w:hAnsi="Times New Roman"/>
          <w:b w:val="0"/>
          <w:color w:val="000000" w:themeColor="text1"/>
          <w:sz w:val="22"/>
          <w:szCs w:val="22"/>
          <w:lang w:eastAsia="zh-CN"/>
        </w:rPr>
      </w:pPr>
      <w:r>
        <w:rPr>
          <w:rFonts w:ascii="Times New Roman" w:hAnsi="Times New Roman"/>
          <w:color w:val="000000" w:themeColor="text1"/>
          <w:sz w:val="22"/>
          <w:szCs w:val="22"/>
        </w:rPr>
        <w:t>Title:</w:t>
      </w:r>
      <w:r>
        <w:rPr>
          <w:rFonts w:ascii="Times New Roman" w:hAnsi="Times New Roman"/>
          <w:color w:val="000000" w:themeColor="text1"/>
          <w:sz w:val="22"/>
          <w:szCs w:val="22"/>
        </w:rPr>
        <w:tab/>
      </w:r>
      <w:r>
        <w:rPr>
          <w:rFonts w:ascii="Times New Roman" w:eastAsia="SimSun" w:hAnsi="Times New Roman"/>
          <w:color w:val="000000" w:themeColor="text1"/>
          <w:sz w:val="22"/>
          <w:szCs w:val="22"/>
        </w:rPr>
        <w:t>Discussion on evaluation on NR duplex evolution</w:t>
      </w:r>
    </w:p>
    <w:p w:rsidR="003D7AEB" w:rsidRDefault="000C2D9D">
      <w:pPr>
        <w:pStyle w:val="Header"/>
        <w:tabs>
          <w:tab w:val="clear" w:pos="4536"/>
        </w:tabs>
        <w:ind w:left="1800" w:hangingChars="815" w:hanging="180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Agenda Item:</w:t>
      </w:r>
      <w:r>
        <w:rPr>
          <w:rFonts w:ascii="Times New Roman" w:eastAsia="SimSun" w:hAnsi="Times New Roman"/>
          <w:color w:val="000000" w:themeColor="text1"/>
          <w:sz w:val="22"/>
          <w:szCs w:val="22"/>
          <w:lang w:eastAsia="zh-CN"/>
        </w:rPr>
        <w:tab/>
        <w:t>9.3.1</w:t>
      </w:r>
    </w:p>
    <w:p w:rsidR="003D7AEB" w:rsidRDefault="000C2D9D">
      <w:pPr>
        <w:pStyle w:val="Header"/>
        <w:tabs>
          <w:tab w:val="left" w:pos="1800"/>
        </w:tabs>
        <w:rPr>
          <w:rFonts w:ascii="Times New Roman" w:eastAsia="SimSun" w:hAnsi="Times New Roman"/>
          <w:color w:val="000000" w:themeColor="text1"/>
          <w:lang w:eastAsia="zh-CN"/>
        </w:rPr>
      </w:pPr>
      <w:r>
        <w:rPr>
          <w:rFonts w:ascii="Times New Roman" w:hAnsi="Times New Roman"/>
          <w:color w:val="000000" w:themeColor="text1"/>
          <w:sz w:val="22"/>
          <w:szCs w:val="22"/>
        </w:rPr>
        <w:t>Document for:</w:t>
      </w:r>
      <w:r>
        <w:rPr>
          <w:rFonts w:ascii="Times New Roman" w:hAnsi="Times New Roman"/>
          <w:color w:val="000000" w:themeColor="text1"/>
          <w:sz w:val="22"/>
          <w:szCs w:val="22"/>
        </w:rPr>
        <w:tab/>
        <w:t>Discussio</w:t>
      </w:r>
      <w:r>
        <w:rPr>
          <w:rFonts w:ascii="Times New Roman" w:eastAsia="SimSun" w:hAnsi="Times New Roman"/>
          <w:color w:val="000000" w:themeColor="text1"/>
          <w:sz w:val="22"/>
          <w:szCs w:val="22"/>
          <w:lang w:eastAsia="zh-CN"/>
        </w:rPr>
        <w:t>n and Decision</w:t>
      </w:r>
    </w:p>
    <w:p w:rsidR="003D7AEB" w:rsidRDefault="003D7AEB">
      <w:pPr>
        <w:pBdr>
          <w:bottom w:val="single" w:sz="4" w:space="1" w:color="auto"/>
        </w:pBdr>
        <w:tabs>
          <w:tab w:val="left" w:pos="2552"/>
        </w:tabs>
        <w:spacing w:after="156"/>
        <w:jc w:val="both"/>
        <w:rPr>
          <w:rFonts w:eastAsia="SimSun"/>
          <w:color w:val="000000" w:themeColor="text1"/>
          <w:lang w:eastAsia="zh-CN"/>
        </w:rPr>
      </w:pP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Introduction</w:t>
      </w:r>
    </w:p>
    <w:p w:rsidR="003D7AEB" w:rsidRDefault="000C2D9D">
      <w:pPr>
        <w:spacing w:before="120"/>
      </w:pPr>
      <w:r>
        <w:t>The following agreements were captured in RAN1 Chairman notes in RAN1 #110 meeting for NR duplex evaluation:</w:t>
      </w:r>
    </w:p>
    <w:tbl>
      <w:tblPr>
        <w:tblStyle w:val="TableGrid"/>
        <w:tblW w:w="0" w:type="auto"/>
        <w:tblLook w:val="04A0"/>
      </w:tblPr>
      <w:tblGrid>
        <w:gridCol w:w="9060"/>
      </w:tblGrid>
      <w:tr w:rsidR="003D7AEB">
        <w:tc>
          <w:tcPr>
            <w:tcW w:w="9060" w:type="dxa"/>
          </w:tcPr>
          <w:p w:rsidR="003D7AEB" w:rsidRDefault="000C2D9D">
            <w:pPr>
              <w:tabs>
                <w:tab w:val="left" w:pos="720"/>
              </w:tabs>
              <w:spacing w:after="0" w:line="240" w:lineRule="auto"/>
              <w:rPr>
                <w:bCs/>
                <w:iCs/>
                <w:sz w:val="18"/>
                <w:szCs w:val="20"/>
                <w:highlight w:val="green"/>
              </w:rPr>
            </w:pPr>
            <w:r>
              <w:rPr>
                <w:bCs/>
                <w:iCs/>
                <w:sz w:val="18"/>
                <w:szCs w:val="20"/>
                <w:highlight w:val="green"/>
              </w:rPr>
              <w:t>Agreement</w:t>
            </w:r>
          </w:p>
          <w:p w:rsidR="003D7AEB" w:rsidRDefault="000C2D9D">
            <w:pPr>
              <w:tabs>
                <w:tab w:val="left" w:pos="720"/>
              </w:tabs>
              <w:spacing w:after="0" w:line="240" w:lineRule="auto"/>
              <w:rPr>
                <w:bCs/>
                <w:iCs/>
                <w:sz w:val="18"/>
                <w:szCs w:val="20"/>
              </w:rPr>
            </w:pPr>
            <w:r>
              <w:rPr>
                <w:bCs/>
                <w:iCs/>
                <w:sz w:val="18"/>
                <w:szCs w:val="20"/>
              </w:rPr>
              <w:t>For latency related performance metric for FTP model 3 in SLS, option 1 is baseline, it is up to companies to report the latency with option 2.</w:t>
            </w:r>
          </w:p>
          <w:p w:rsidR="003D7AEB" w:rsidRDefault="000C2D9D">
            <w:pPr>
              <w:numPr>
                <w:ilvl w:val="0"/>
                <w:numId w:val="4"/>
              </w:numPr>
              <w:spacing w:after="0" w:line="240" w:lineRule="auto"/>
              <w:rPr>
                <w:bCs/>
                <w:iCs/>
                <w:sz w:val="18"/>
                <w:szCs w:val="20"/>
              </w:rPr>
            </w:pPr>
            <w:r>
              <w:rPr>
                <w:bCs/>
                <w:iCs/>
                <w:sz w:val="18"/>
                <w:szCs w:val="20"/>
              </w:rPr>
              <w:t>Packet latency: defined as the time which starts when the packet is received in the transmit buffer and ends when the last bit of the packet is correctly delivered to the receiver.</w:t>
            </w:r>
          </w:p>
          <w:p w:rsidR="003D7AEB" w:rsidRDefault="000C2D9D">
            <w:pPr>
              <w:numPr>
                <w:ilvl w:val="1"/>
                <w:numId w:val="4"/>
              </w:numPr>
              <w:spacing w:after="0" w:line="240" w:lineRule="auto"/>
              <w:rPr>
                <w:bCs/>
                <w:iCs/>
                <w:sz w:val="18"/>
                <w:szCs w:val="20"/>
              </w:rPr>
            </w:pPr>
            <w:r>
              <w:rPr>
                <w:bCs/>
                <w:iCs/>
                <w:sz w:val="18"/>
                <w:szCs w:val="20"/>
              </w:rPr>
              <w:t xml:space="preserve">(baseline) </w:t>
            </w:r>
            <w:r>
              <w:rPr>
                <w:rFonts w:hint="eastAsia"/>
                <w:bCs/>
                <w:iCs/>
                <w:sz w:val="18"/>
                <w:szCs w:val="20"/>
              </w:rPr>
              <w:t>O</w:t>
            </w:r>
            <w:r>
              <w:rPr>
                <w:bCs/>
                <w:iCs/>
                <w:sz w:val="18"/>
                <w:szCs w:val="20"/>
              </w:rPr>
              <w:t>ption 1: Calculate the latency for each packet for each UE, and then generate CDF of latency for all these packets from all the UEs.</w:t>
            </w:r>
          </w:p>
          <w:p w:rsidR="003D7AEB" w:rsidRDefault="000C2D9D">
            <w:pPr>
              <w:numPr>
                <w:ilvl w:val="2"/>
                <w:numId w:val="4"/>
              </w:numPr>
              <w:spacing w:after="0" w:line="240" w:lineRule="auto"/>
              <w:rPr>
                <w:bCs/>
                <w:iCs/>
                <w:sz w:val="18"/>
                <w:szCs w:val="20"/>
              </w:rPr>
            </w:pPr>
            <w:r>
              <w:rPr>
                <w:bCs/>
                <w:iCs/>
                <w:sz w:val="18"/>
                <w:szCs w:val="20"/>
              </w:rPr>
              <w:t>Packet-Latency CDF: The CDF of the packet latencies of all the packets from all the UEs.</w:t>
            </w:r>
          </w:p>
          <w:p w:rsidR="003D7AEB" w:rsidRDefault="000C2D9D">
            <w:pPr>
              <w:numPr>
                <w:ilvl w:val="2"/>
                <w:numId w:val="4"/>
              </w:numPr>
              <w:spacing w:after="0" w:line="240" w:lineRule="auto"/>
              <w:rPr>
                <w:bCs/>
                <w:iCs/>
                <w:sz w:val="18"/>
                <w:szCs w:val="20"/>
              </w:rPr>
            </w:pPr>
            <w:r>
              <w:rPr>
                <w:bCs/>
                <w:iCs/>
                <w:sz w:val="18"/>
                <w:szCs w:val="20"/>
              </w:rPr>
              <w:t>Mean/5%/50%/95% Packet-Latency: The mean/5%/50%/95% value of Packet-Latency of all the packets from all the UEs.</w:t>
            </w:r>
          </w:p>
          <w:p w:rsidR="003D7AEB" w:rsidRDefault="000C2D9D">
            <w:pPr>
              <w:numPr>
                <w:ilvl w:val="1"/>
                <w:numId w:val="4"/>
              </w:numPr>
              <w:spacing w:after="0" w:line="240" w:lineRule="auto"/>
              <w:rPr>
                <w:bCs/>
                <w:iCs/>
                <w:sz w:val="18"/>
                <w:szCs w:val="20"/>
              </w:rPr>
            </w:pPr>
            <w:r>
              <w:rPr>
                <w:bCs/>
                <w:iCs/>
                <w:sz w:val="18"/>
                <w:szCs w:val="20"/>
              </w:rPr>
              <w:t xml:space="preserve">(optional) </w:t>
            </w:r>
            <w:r>
              <w:rPr>
                <w:rFonts w:hint="eastAsia"/>
                <w:bCs/>
                <w:iCs/>
                <w:sz w:val="18"/>
                <w:szCs w:val="20"/>
              </w:rPr>
              <w:t>O</w:t>
            </w:r>
            <w:r>
              <w:rPr>
                <w:bCs/>
                <w:iCs/>
                <w:sz w:val="18"/>
                <w:szCs w:val="20"/>
              </w:rPr>
              <w:t>ption 2: Calculate the latency for each packet for each UE, and then calculate the average latency for each UE, then generate the CDF for these average latency for each UE</w:t>
            </w:r>
          </w:p>
          <w:p w:rsidR="003D7AEB" w:rsidRDefault="000C2D9D">
            <w:pPr>
              <w:numPr>
                <w:ilvl w:val="2"/>
                <w:numId w:val="4"/>
              </w:numPr>
              <w:spacing w:after="0" w:line="240" w:lineRule="auto"/>
              <w:rPr>
                <w:bCs/>
                <w:iCs/>
                <w:sz w:val="18"/>
                <w:szCs w:val="20"/>
              </w:rPr>
            </w:pPr>
            <w:r>
              <w:rPr>
                <w:bCs/>
                <w:iCs/>
                <w:sz w:val="18"/>
                <w:szCs w:val="20"/>
              </w:rPr>
              <w:t>UE-Average-Latency: defined as the average packet latency for a UE</w:t>
            </w:r>
          </w:p>
          <w:p w:rsidR="003D7AEB" w:rsidRDefault="000C2D9D">
            <w:pPr>
              <w:numPr>
                <w:ilvl w:val="2"/>
                <w:numId w:val="4"/>
              </w:numPr>
              <w:spacing w:after="0" w:line="240" w:lineRule="auto"/>
              <w:rPr>
                <w:bCs/>
                <w:iCs/>
                <w:sz w:val="18"/>
                <w:szCs w:val="20"/>
              </w:rPr>
            </w:pPr>
            <w:r>
              <w:rPr>
                <w:bCs/>
                <w:iCs/>
                <w:sz w:val="18"/>
                <w:szCs w:val="20"/>
              </w:rPr>
              <w:t>UE-Average-Latency CDF: The CDF of the UE-Average-Latency for all users.</w:t>
            </w:r>
          </w:p>
          <w:p w:rsidR="003D7AEB" w:rsidRDefault="000C2D9D">
            <w:pPr>
              <w:numPr>
                <w:ilvl w:val="2"/>
                <w:numId w:val="4"/>
              </w:numPr>
              <w:spacing w:after="0" w:line="240" w:lineRule="auto"/>
              <w:rPr>
                <w:bCs/>
                <w:iCs/>
                <w:sz w:val="18"/>
                <w:szCs w:val="20"/>
              </w:rPr>
            </w:pPr>
            <w:r>
              <w:rPr>
                <w:bCs/>
                <w:iCs/>
                <w:sz w:val="18"/>
                <w:szCs w:val="20"/>
              </w:rPr>
              <w:t>Mean/5%/50%/95% UE-Average-Latency: The mean/5%/50%/95% value of UE-Average-Latency for all users.</w:t>
            </w:r>
          </w:p>
          <w:p w:rsidR="003D7AEB" w:rsidRDefault="000C2D9D">
            <w:pPr>
              <w:numPr>
                <w:ilvl w:val="0"/>
                <w:numId w:val="4"/>
              </w:numPr>
              <w:spacing w:after="0" w:line="240" w:lineRule="auto"/>
              <w:rPr>
                <w:bCs/>
                <w:iCs/>
                <w:sz w:val="18"/>
                <w:szCs w:val="20"/>
              </w:rPr>
            </w:pPr>
            <w:r>
              <w:rPr>
                <w:bCs/>
                <w:iCs/>
                <w:sz w:val="18"/>
                <w:szCs w:val="20"/>
              </w:rPr>
              <w:t>Note: HARQ re-transmission should be considered for latency evaluation.</w:t>
            </w:r>
          </w:p>
          <w:p w:rsidR="003D7AEB" w:rsidRDefault="000C2D9D">
            <w:pPr>
              <w:numPr>
                <w:ilvl w:val="0"/>
                <w:numId w:val="4"/>
              </w:numPr>
              <w:spacing w:after="0" w:line="240" w:lineRule="auto"/>
              <w:rPr>
                <w:bCs/>
                <w:iCs/>
                <w:sz w:val="18"/>
                <w:szCs w:val="20"/>
              </w:rPr>
            </w:pPr>
            <w:r>
              <w:rPr>
                <w:bCs/>
                <w:iCs/>
                <w:sz w:val="18"/>
                <w:szCs w:val="20"/>
              </w:rPr>
              <w:t>Unfinished/dropped FTP packets are not incorporated in the packet latency calculation.</w:t>
            </w:r>
          </w:p>
          <w:p w:rsidR="003D7AEB" w:rsidRDefault="000C2D9D">
            <w:pPr>
              <w:numPr>
                <w:ilvl w:val="1"/>
                <w:numId w:val="4"/>
              </w:numPr>
              <w:spacing w:after="0" w:line="240" w:lineRule="auto"/>
              <w:rPr>
                <w:bCs/>
                <w:iCs/>
                <w:sz w:val="18"/>
                <w:szCs w:val="20"/>
              </w:rPr>
            </w:pPr>
            <w:r>
              <w:rPr>
                <w:bCs/>
                <w:iCs/>
                <w:sz w:val="18"/>
                <w:szCs w:val="20"/>
              </w:rPr>
              <w:t>Unfinished/dropped Packet Rate is defined as the number of the unfinished packets for all users divided by the total number of generated packets for all users</w:t>
            </w:r>
          </w:p>
          <w:p w:rsidR="003D7AEB" w:rsidRDefault="000C2D9D">
            <w:pPr>
              <w:numPr>
                <w:ilvl w:val="2"/>
                <w:numId w:val="4"/>
              </w:numPr>
              <w:spacing w:after="0" w:line="240" w:lineRule="auto"/>
              <w:rPr>
                <w:bCs/>
                <w:iCs/>
                <w:sz w:val="18"/>
                <w:szCs w:val="20"/>
              </w:rPr>
            </w:pPr>
            <w:r>
              <w:rPr>
                <w:bCs/>
                <w:iCs/>
                <w:sz w:val="18"/>
                <w:szCs w:val="20"/>
              </w:rPr>
              <w:t>To be reported as part of the system level simulation results</w:t>
            </w:r>
          </w:p>
          <w:p w:rsidR="003D7AEB" w:rsidRDefault="000C2D9D">
            <w:pPr>
              <w:spacing w:after="0" w:line="240" w:lineRule="auto"/>
              <w:rPr>
                <w:rFonts w:cs="Times"/>
                <w:sz w:val="18"/>
                <w:szCs w:val="20"/>
                <w:highlight w:val="green"/>
                <w:lang w:eastAsia="ko-KR"/>
              </w:rPr>
            </w:pPr>
            <w:r>
              <w:rPr>
                <w:rFonts w:cs="Times"/>
                <w:sz w:val="18"/>
                <w:szCs w:val="20"/>
                <w:highlight w:val="green"/>
                <w:lang w:eastAsia="ko-KR"/>
              </w:rPr>
              <w:t>Agreement</w:t>
            </w:r>
          </w:p>
          <w:p w:rsidR="003D7AEB" w:rsidRDefault="000C2D9D">
            <w:pPr>
              <w:spacing w:after="0" w:line="240" w:lineRule="auto"/>
              <w:rPr>
                <w:sz w:val="18"/>
              </w:rPr>
            </w:pPr>
            <w:r>
              <w:rPr>
                <w:sz w:val="18"/>
              </w:rPr>
              <w:t>For UPT (user perceived throughput) related performance metrics for FTP model 3 in SLS, adopt the following option.</w:t>
            </w:r>
          </w:p>
          <w:p w:rsidR="003D7AEB" w:rsidRDefault="000C2D9D">
            <w:pPr>
              <w:pStyle w:val="ListParagraph"/>
              <w:numPr>
                <w:ilvl w:val="0"/>
                <w:numId w:val="5"/>
              </w:numPr>
              <w:overflowPunct w:val="0"/>
              <w:autoSpaceDE w:val="0"/>
              <w:autoSpaceDN w:val="0"/>
              <w:adjustRightInd w:val="0"/>
              <w:spacing w:after="0" w:line="240" w:lineRule="auto"/>
              <w:contextualSpacing/>
              <w:jc w:val="left"/>
              <w:textAlignment w:val="baseline"/>
              <w:rPr>
                <w:sz w:val="18"/>
              </w:rPr>
            </w:pPr>
            <w:r>
              <w:rPr>
                <w:sz w:val="18"/>
              </w:rPr>
              <w:t>Option 1: UPT is defined as the size of an FTP packet divided by the time which starts when the packet is received in the transmit buffer and ends when the last bit of the packet is correctly delivered to the receiver [Refer to TR36.814].</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Unfinished FTP packets should be incorporated in the UPT calculation. The number of served bits (possibly zero) of an unfinished FTP packet by the end of the simulation is divided by the served time (simulation end time – file arrival time) [Refer to TR36.889].</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Consider zero bit for dropped FTP packets.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lastRenderedPageBreak/>
              <w:t>Average-UPT of a user: defined as the average from all UPTs for all FTP packets intended for this user [Refer to TR36.814].</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Tail-UPT of a user: defined as the worst 5% UPT among all FTP packets intended for this user [Refer to TR36.814].</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Median-UPT of a user: defined as the 50% UPT among all FTP packets intended for this user.</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Average-UPT CDF: The CDF of the Average-UPTs for all users.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Tail-UPT CDF: The CDF of the Tail-UPTs for all users.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Median-UPT CDF: The CDF of the Median-UPTs for all users.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Mean/5%/50%/95% Average-UPT: The mean/5%/50%/95% value of Average-UPTs for all users.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Mean/5%/50%/95% Tail-UPT: The mean/5%/50%/95% value of Tail-UPTs for all users.</w:t>
            </w:r>
          </w:p>
          <w:p w:rsidR="003D7AEB" w:rsidRDefault="000C2D9D">
            <w:pPr>
              <w:pStyle w:val="ListParagraph"/>
              <w:numPr>
                <w:ilvl w:val="1"/>
                <w:numId w:val="5"/>
              </w:numPr>
              <w:overflowPunct w:val="0"/>
              <w:autoSpaceDE w:val="0"/>
              <w:autoSpaceDN w:val="0"/>
              <w:adjustRightInd w:val="0"/>
              <w:spacing w:after="0" w:line="240" w:lineRule="auto"/>
              <w:contextualSpacing/>
              <w:jc w:val="left"/>
              <w:textAlignment w:val="baseline"/>
              <w:rPr>
                <w:sz w:val="18"/>
              </w:rPr>
            </w:pPr>
            <w:r>
              <w:rPr>
                <w:sz w:val="18"/>
              </w:rPr>
              <w:t>Mean/5%/50%/95% Median-UPT: The mean/5%/50%/95% value of Median-UPTs for all users.</w:t>
            </w:r>
          </w:p>
          <w:p w:rsidR="003D7AEB" w:rsidRDefault="003D7AEB">
            <w:pPr>
              <w:numPr>
                <w:ilvl w:val="0"/>
                <w:numId w:val="6"/>
              </w:numPr>
              <w:spacing w:after="0" w:line="240" w:lineRule="auto"/>
              <w:rPr>
                <w:sz w:val="18"/>
              </w:rPr>
            </w:pPr>
          </w:p>
        </w:tc>
      </w:tr>
    </w:tbl>
    <w:p w:rsidR="003D7AEB" w:rsidRDefault="000C2D9D">
      <w:pPr>
        <w:spacing w:after="156"/>
        <w:rPr>
          <w:rFonts w:eastAsiaTheme="minorEastAsia"/>
          <w:color w:val="000000" w:themeColor="text1"/>
          <w:lang w:eastAsia="zh-CN"/>
        </w:rPr>
      </w:pPr>
      <w:r>
        <w:lastRenderedPageBreak/>
        <w:t>In this contribution, we provide our views on evaluation on NR duplex evolution, including the scenario of NR duplex, evaluation methodology and the evaluation results.</w:t>
      </w: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Discussion</w:t>
      </w:r>
    </w:p>
    <w:p w:rsidR="003D7AEB" w:rsidRDefault="000C2D9D">
      <w:pPr>
        <w:pStyle w:val="Heading2"/>
        <w:rPr>
          <w:rFonts w:cs="Times New Roman"/>
        </w:rPr>
      </w:pPr>
      <w:r>
        <w:rPr>
          <w:rFonts w:cs="Times New Roman"/>
        </w:rPr>
        <w:t>Evaluation methodology</w:t>
      </w:r>
    </w:p>
    <w:p w:rsidR="003D7AEB" w:rsidRDefault="000C2D9D">
      <w:pPr>
        <w:rPr>
          <w:rFonts w:eastAsia="SimSun"/>
          <w:lang w:eastAsia="zh-CN"/>
        </w:rPr>
      </w:pPr>
      <w:r>
        <w:rPr>
          <w:rFonts w:eastAsia="SimSun"/>
          <w:lang w:eastAsia="zh-CN"/>
        </w:rPr>
        <w:t xml:space="preserve">The gNB self-interference can be modeled as frequency flat as a simple way in SLS. The gNB antenna architecture will impact the RSI. TX/RX beamforming can also impact the RSI. A value range for RSIC is given in the RAN4 reply LS, which shows the ratio of gNB self-interference cancellation. </w:t>
      </w:r>
    </w:p>
    <w:p w:rsidR="003D7AEB" w:rsidRDefault="000C2D9D">
      <w:pPr>
        <w:jc w:val="center"/>
        <w:rPr>
          <w:rFonts w:eastAsia="SimSun"/>
          <w:lang w:eastAsia="zh-CN"/>
        </w:rPr>
      </w:pPr>
      <w:r>
        <w:rPr>
          <w:rFonts w:eastAsia="SimSun"/>
          <w:lang w:eastAsia="zh-CN"/>
        </w:rPr>
        <w:t>Table 1 value range of RSIC</w:t>
      </w:r>
    </w:p>
    <w:tbl>
      <w:tblPr>
        <w:tblStyle w:val="TableGrid7"/>
        <w:tblW w:w="7933" w:type="dxa"/>
        <w:jc w:val="center"/>
        <w:tblLook w:val="04A0"/>
      </w:tblPr>
      <w:tblGrid>
        <w:gridCol w:w="2566"/>
        <w:gridCol w:w="2816"/>
        <w:gridCol w:w="2551"/>
      </w:tblGrid>
      <w:tr w:rsidR="003D7AEB">
        <w:trPr>
          <w:trHeight w:val="235"/>
          <w:jc w:val="center"/>
        </w:trPr>
        <w:tc>
          <w:tcPr>
            <w:tcW w:w="2566" w:type="dxa"/>
          </w:tcPr>
          <w:p w:rsidR="003D7AEB" w:rsidRDefault="000C2D9D">
            <w:pPr>
              <w:spacing w:line="240" w:lineRule="auto"/>
              <w:rPr>
                <w:sz w:val="18"/>
              </w:rPr>
            </w:pPr>
            <w:r>
              <w:rPr>
                <w:b/>
                <w:bCs/>
                <w:sz w:val="18"/>
              </w:rPr>
              <w:t>Parameter</w:t>
            </w:r>
          </w:p>
        </w:tc>
        <w:tc>
          <w:tcPr>
            <w:tcW w:w="2816" w:type="dxa"/>
          </w:tcPr>
          <w:p w:rsidR="003D7AEB" w:rsidRDefault="000C2D9D">
            <w:pPr>
              <w:spacing w:line="240" w:lineRule="auto"/>
              <w:rPr>
                <w:sz w:val="18"/>
              </w:rPr>
            </w:pPr>
            <w:r>
              <w:rPr>
                <w:b/>
                <w:bCs/>
                <w:sz w:val="18"/>
              </w:rPr>
              <w:t>FR1(Frequency Range 1)</w:t>
            </w:r>
          </w:p>
        </w:tc>
        <w:tc>
          <w:tcPr>
            <w:tcW w:w="2551" w:type="dxa"/>
          </w:tcPr>
          <w:p w:rsidR="003D7AEB" w:rsidRDefault="000C2D9D">
            <w:pPr>
              <w:spacing w:line="240" w:lineRule="auto"/>
              <w:rPr>
                <w:sz w:val="18"/>
              </w:rPr>
            </w:pPr>
            <w:r>
              <w:rPr>
                <w:b/>
                <w:bCs/>
                <w:sz w:val="18"/>
              </w:rPr>
              <w:t>FR2(Frequency Range 2)</w:t>
            </w:r>
          </w:p>
        </w:tc>
      </w:tr>
      <w:tr w:rsidR="003D7AEB">
        <w:trPr>
          <w:trHeight w:val="260"/>
          <w:jc w:val="center"/>
        </w:trPr>
        <w:tc>
          <w:tcPr>
            <w:tcW w:w="2566" w:type="dxa"/>
          </w:tcPr>
          <w:p w:rsidR="003D7AEB" w:rsidRDefault="000C2D9D">
            <w:pPr>
              <w:spacing w:line="240" w:lineRule="auto"/>
              <w:rPr>
                <w:sz w:val="18"/>
              </w:rPr>
            </w:pPr>
            <w:r>
              <w:rPr>
                <w:sz w:val="18"/>
              </w:rPr>
              <w:t xml:space="preserve">Spatial isolation </w:t>
            </w:r>
          </w:p>
        </w:tc>
        <w:tc>
          <w:tcPr>
            <w:tcW w:w="2816" w:type="dxa"/>
          </w:tcPr>
          <w:p w:rsidR="003D7AEB" w:rsidRDefault="000C2D9D">
            <w:pPr>
              <w:spacing w:line="240" w:lineRule="auto"/>
              <w:rPr>
                <w:sz w:val="18"/>
              </w:rPr>
            </w:pPr>
            <w:r>
              <w:rPr>
                <w:sz w:val="18"/>
              </w:rPr>
              <w:t>50~80dBc</w:t>
            </w:r>
          </w:p>
        </w:tc>
        <w:tc>
          <w:tcPr>
            <w:tcW w:w="2551" w:type="dxa"/>
          </w:tcPr>
          <w:p w:rsidR="003D7AEB" w:rsidRDefault="000C2D9D">
            <w:pPr>
              <w:spacing w:line="240" w:lineRule="auto"/>
              <w:rPr>
                <w:sz w:val="18"/>
              </w:rPr>
            </w:pPr>
            <w:r>
              <w:rPr>
                <w:sz w:val="18"/>
              </w:rPr>
              <w:t>80-120 dBc</w:t>
            </w:r>
          </w:p>
        </w:tc>
      </w:tr>
      <w:tr w:rsidR="003D7AEB">
        <w:trPr>
          <w:trHeight w:val="364"/>
          <w:jc w:val="center"/>
        </w:trPr>
        <w:tc>
          <w:tcPr>
            <w:tcW w:w="2566" w:type="dxa"/>
          </w:tcPr>
          <w:p w:rsidR="003D7AEB" w:rsidRDefault="000C2D9D">
            <w:pPr>
              <w:spacing w:line="240" w:lineRule="auto"/>
              <w:rPr>
                <w:sz w:val="18"/>
              </w:rPr>
            </w:pPr>
            <w:r>
              <w:rPr>
                <w:sz w:val="18"/>
              </w:rPr>
              <w:t>Frequency isolation</w:t>
            </w:r>
          </w:p>
        </w:tc>
        <w:tc>
          <w:tcPr>
            <w:tcW w:w="2816" w:type="dxa"/>
          </w:tcPr>
          <w:p w:rsidR="003D7AEB" w:rsidRDefault="000C2D9D">
            <w:pPr>
              <w:spacing w:line="240" w:lineRule="auto"/>
              <w:rPr>
                <w:sz w:val="18"/>
              </w:rPr>
            </w:pPr>
            <w:r>
              <w:rPr>
                <w:sz w:val="18"/>
              </w:rPr>
              <w:t xml:space="preserve">45 dBc </w:t>
            </w:r>
          </w:p>
        </w:tc>
        <w:tc>
          <w:tcPr>
            <w:tcW w:w="2551" w:type="dxa"/>
          </w:tcPr>
          <w:p w:rsidR="003D7AEB" w:rsidRDefault="000C2D9D">
            <w:pPr>
              <w:spacing w:line="240" w:lineRule="auto"/>
              <w:rPr>
                <w:sz w:val="18"/>
              </w:rPr>
            </w:pPr>
            <w:r>
              <w:rPr>
                <w:sz w:val="18"/>
              </w:rPr>
              <w:t>22.5~30 dBc</w:t>
            </w:r>
          </w:p>
        </w:tc>
      </w:tr>
      <w:tr w:rsidR="003D7AEB">
        <w:trPr>
          <w:trHeight w:val="254"/>
          <w:jc w:val="center"/>
        </w:trPr>
        <w:tc>
          <w:tcPr>
            <w:tcW w:w="2566" w:type="dxa"/>
          </w:tcPr>
          <w:p w:rsidR="003D7AEB" w:rsidRDefault="000C2D9D">
            <w:pPr>
              <w:spacing w:line="240" w:lineRule="auto"/>
              <w:rPr>
                <w:sz w:val="18"/>
              </w:rPr>
            </w:pPr>
            <w:r>
              <w:rPr>
                <w:sz w:val="18"/>
              </w:rPr>
              <w:t>Beam nulling /isolation</w:t>
            </w:r>
          </w:p>
        </w:tc>
        <w:tc>
          <w:tcPr>
            <w:tcW w:w="2816" w:type="dxa"/>
          </w:tcPr>
          <w:p w:rsidR="003D7AEB" w:rsidRDefault="000C2D9D">
            <w:pPr>
              <w:spacing w:line="240" w:lineRule="auto"/>
              <w:rPr>
                <w:sz w:val="18"/>
              </w:rPr>
            </w:pPr>
            <w:r>
              <w:rPr>
                <w:sz w:val="18"/>
              </w:rPr>
              <w:t>0~40 dBc</w:t>
            </w:r>
          </w:p>
        </w:tc>
        <w:tc>
          <w:tcPr>
            <w:tcW w:w="2551" w:type="dxa"/>
          </w:tcPr>
          <w:p w:rsidR="003D7AEB" w:rsidRDefault="000C2D9D">
            <w:pPr>
              <w:spacing w:line="240" w:lineRule="auto"/>
              <w:rPr>
                <w:sz w:val="18"/>
              </w:rPr>
            </w:pPr>
            <w:r>
              <w:rPr>
                <w:sz w:val="18"/>
              </w:rPr>
              <w:t>0~40 dBc</w:t>
            </w:r>
          </w:p>
        </w:tc>
      </w:tr>
      <w:tr w:rsidR="003D7AEB">
        <w:trPr>
          <w:trHeight w:val="344"/>
          <w:jc w:val="center"/>
        </w:trPr>
        <w:tc>
          <w:tcPr>
            <w:tcW w:w="2566" w:type="dxa"/>
          </w:tcPr>
          <w:p w:rsidR="003D7AEB" w:rsidRDefault="000C2D9D">
            <w:pPr>
              <w:spacing w:line="240" w:lineRule="auto"/>
              <w:rPr>
                <w:sz w:val="18"/>
              </w:rPr>
            </w:pPr>
            <w:r>
              <w:rPr>
                <w:sz w:val="18"/>
              </w:rPr>
              <w:t xml:space="preserve">Digital IC </w:t>
            </w:r>
          </w:p>
        </w:tc>
        <w:tc>
          <w:tcPr>
            <w:tcW w:w="2816" w:type="dxa"/>
          </w:tcPr>
          <w:p w:rsidR="003D7AEB" w:rsidRDefault="000C2D9D">
            <w:pPr>
              <w:spacing w:line="240" w:lineRule="auto"/>
              <w:rPr>
                <w:sz w:val="18"/>
              </w:rPr>
            </w:pPr>
            <w:r>
              <w:rPr>
                <w:sz w:val="18"/>
              </w:rPr>
              <w:t>0~50 dBc</w:t>
            </w:r>
          </w:p>
        </w:tc>
        <w:tc>
          <w:tcPr>
            <w:tcW w:w="2551" w:type="dxa"/>
          </w:tcPr>
          <w:p w:rsidR="003D7AEB" w:rsidRDefault="000C2D9D">
            <w:pPr>
              <w:spacing w:line="240" w:lineRule="auto"/>
              <w:rPr>
                <w:sz w:val="18"/>
              </w:rPr>
            </w:pPr>
            <w:r>
              <w:rPr>
                <w:sz w:val="18"/>
              </w:rPr>
              <w:t>0~50 dBc</w:t>
            </w:r>
          </w:p>
        </w:tc>
      </w:tr>
      <w:tr w:rsidR="003D7AEB">
        <w:trPr>
          <w:trHeight w:val="90"/>
          <w:jc w:val="center"/>
        </w:trPr>
        <w:tc>
          <w:tcPr>
            <w:tcW w:w="2566" w:type="dxa"/>
          </w:tcPr>
          <w:p w:rsidR="003D7AEB" w:rsidRDefault="000C2D9D">
            <w:pPr>
              <w:spacing w:line="240" w:lineRule="auto"/>
              <w:rPr>
                <w:sz w:val="18"/>
              </w:rPr>
            </w:pPr>
            <w:r>
              <w:rPr>
                <w:sz w:val="18"/>
              </w:rPr>
              <w:t xml:space="preserve">Overall RSIC capability </w:t>
            </w:r>
          </w:p>
        </w:tc>
        <w:tc>
          <w:tcPr>
            <w:tcW w:w="2816" w:type="dxa"/>
          </w:tcPr>
          <w:p w:rsidR="003D7AEB" w:rsidRDefault="000C2D9D">
            <w:pPr>
              <w:spacing w:line="240" w:lineRule="auto"/>
              <w:rPr>
                <w:sz w:val="18"/>
              </w:rPr>
            </w:pPr>
            <w:r>
              <w:rPr>
                <w:sz w:val="18"/>
              </w:rPr>
              <w:t>95 ~185 dBc</w:t>
            </w:r>
          </w:p>
        </w:tc>
        <w:tc>
          <w:tcPr>
            <w:tcW w:w="2551" w:type="dxa"/>
          </w:tcPr>
          <w:p w:rsidR="003D7AEB" w:rsidRDefault="000C2D9D">
            <w:pPr>
              <w:spacing w:line="240" w:lineRule="auto"/>
              <w:rPr>
                <w:sz w:val="18"/>
              </w:rPr>
            </w:pPr>
            <w:r>
              <w:rPr>
                <w:sz w:val="18"/>
              </w:rPr>
              <w:t>102.5~ 205 dBc</w:t>
            </w:r>
          </w:p>
        </w:tc>
      </w:tr>
      <w:tr w:rsidR="003D7AEB">
        <w:trPr>
          <w:trHeight w:val="90"/>
          <w:jc w:val="center"/>
        </w:trPr>
        <w:tc>
          <w:tcPr>
            <w:tcW w:w="7933" w:type="dxa"/>
            <w:gridSpan w:val="3"/>
          </w:tcPr>
          <w:p w:rsidR="003D7AEB" w:rsidRDefault="000C2D9D">
            <w:pPr>
              <w:spacing w:line="240" w:lineRule="auto"/>
              <w:rPr>
                <w:sz w:val="18"/>
              </w:rPr>
            </w:pPr>
            <w:r>
              <w:rPr>
                <w:sz w:val="18"/>
              </w:rPr>
              <w:t>NOTE1: Other isolation schemes could be discussed further.</w:t>
            </w:r>
          </w:p>
          <w:p w:rsidR="003D7AEB" w:rsidRDefault="000C2D9D">
            <w:pPr>
              <w:spacing w:line="240" w:lineRule="auto"/>
              <w:rPr>
                <w:sz w:val="18"/>
              </w:rPr>
            </w:pPr>
            <w:r>
              <w:rPr>
                <w:sz w:val="18"/>
              </w:rPr>
              <w:t xml:space="preserve">NOTE 2: Both transmitter leakage to the RX sub-band and interference arising from receiver imperfections need to be considered. Receiver imperfections may reduce the RSIC to be lower than the RSIC considering transmitter leakage alone. RAN4 will assess impact of Rx impairments on the RSIC capability. But the RSIC model can potentially be simplified to address impact from both aspects together. </w:t>
            </w:r>
          </w:p>
        </w:tc>
      </w:tr>
    </w:tbl>
    <w:p w:rsidR="003D7AEB" w:rsidRDefault="000C2D9D">
      <w:pPr>
        <w:spacing w:before="120"/>
        <w:rPr>
          <w:rFonts w:eastAsia="SimSun"/>
          <w:b/>
          <w:i/>
          <w:lang w:eastAsia="zh-CN"/>
        </w:rPr>
      </w:pPr>
      <w:r>
        <w:rPr>
          <w:rFonts w:eastAsia="SimSun"/>
          <w:b/>
          <w:i/>
          <w:lang w:eastAsia="zh-CN"/>
        </w:rPr>
        <w:t xml:space="preserve">Proposal 1: gNB antenna architecture, TX/RX beamforming and RSIC need be modeled in SLS at least for gNB self-interference. </w:t>
      </w:r>
    </w:p>
    <w:p w:rsidR="003D7AEB" w:rsidRDefault="000C2D9D">
      <w:pPr>
        <w:pStyle w:val="Heading2"/>
        <w:rPr>
          <w:lang w:eastAsia="zh-CN"/>
        </w:rPr>
      </w:pPr>
      <w:r>
        <w:rPr>
          <w:lang w:eastAsia="zh-CN"/>
        </w:rPr>
        <w:lastRenderedPageBreak/>
        <w:t>Evaluation results</w:t>
      </w:r>
    </w:p>
    <w:p w:rsidR="003D7AEB" w:rsidRDefault="000C2D9D">
      <w:pPr>
        <w:jc w:val="both"/>
        <w:rPr>
          <w:rFonts w:eastAsiaTheme="minorEastAsia"/>
          <w:lang w:eastAsia="zh-CN"/>
        </w:rPr>
      </w:pPr>
      <w:r>
        <w:rPr>
          <w:rFonts w:eastAsiaTheme="minorEastAsia"/>
          <w:lang w:eastAsia="zh-CN"/>
        </w:rPr>
        <w:t xml:space="preserve">Tables 2~4 show the evaluation results for SBFD in InH scenario, with evaluation assumptions given in Table A-1. The channel bandwidth is 100MHz (272RBs) and the SBFD UL subband has 56RBs locating at the center of bandwidth. The UE in the cell has both uplink and downlink traffic with packet size 0.5Mbyte. 3 cases are evaluated for different  traffic load levels at low, medium and high. The arrival time for </w:t>
      </w:r>
      <w:r>
        <w:rPr>
          <w:rFonts w:eastAsiaTheme="minorEastAsia" w:hint="eastAsia"/>
          <w:lang w:eastAsia="zh-CN"/>
        </w:rPr>
        <w:t>FTP</w:t>
      </w:r>
      <w:r>
        <w:rPr>
          <w:rFonts w:eastAsiaTheme="minorEastAsia"/>
          <w:lang w:eastAsia="zh-CN"/>
        </w:rPr>
        <w:t xml:space="preserve">3 is determined with </w:t>
      </w:r>
      <w:r>
        <w:t xml:space="preserve">Type-2 RU in legacy TDD (DDDSU) case. The traffic packets </w:t>
      </w:r>
      <w:r w:rsidR="00EE0CC0">
        <w:t>generation</w:t>
      </w:r>
      <w:r>
        <w:t xml:space="preserve"> for legacy TDD case and SBFD cases follow the same random seed for generation of traffic arrival times and the same fixed packet size with </w:t>
      </w:r>
      <w:r w:rsidR="00EE0CC0">
        <w:t xml:space="preserve">the </w:t>
      </w:r>
      <w:r>
        <w:t xml:space="preserve">given load condition. </w:t>
      </w: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2 evaluation results for SBFD operations in deployment case-1</w:t>
      </w:r>
      <w:r>
        <w:rPr>
          <w:rFonts w:eastAsiaTheme="minorEastAsia" w:hint="eastAsia"/>
          <w:lang w:eastAsia="zh-CN"/>
        </w:rPr>
        <w:t xml:space="preserve"> </w:t>
      </w:r>
      <w:r>
        <w:rPr>
          <w:rFonts w:eastAsiaTheme="minorEastAsia"/>
          <w:lang w:eastAsia="zh-CN"/>
        </w:rPr>
        <w:t>with low load</w:t>
      </w:r>
    </w:p>
    <w:tbl>
      <w:tblPr>
        <w:tblW w:w="9919" w:type="dxa"/>
        <w:tblInd w:w="108" w:type="dxa"/>
        <w:tblLook w:val="04A0"/>
      </w:tblPr>
      <w:tblGrid>
        <w:gridCol w:w="1417"/>
        <w:gridCol w:w="1417"/>
        <w:gridCol w:w="1417"/>
        <w:gridCol w:w="1417"/>
        <w:gridCol w:w="1417"/>
        <w:gridCol w:w="1417"/>
        <w:gridCol w:w="1417"/>
      </w:tblGrid>
      <w:tr w:rsidR="003D7AEB">
        <w:trPr>
          <w:trHeight w:val="1056"/>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8299.71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2149.10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579021.63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192064.34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8298.39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2160.73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444403.38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366768.44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8300.77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2149.75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587164.70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173388.73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w:t>
            </w:r>
          </w:p>
        </w:tc>
      </w:tr>
    </w:tbl>
    <w:p w:rsidR="003D7AEB" w:rsidRDefault="003D7AEB">
      <w:pPr>
        <w:rPr>
          <w:rFonts w:eastAsiaTheme="minorEastAsia"/>
          <w:lang w:eastAsia="zh-CN"/>
        </w:rPr>
      </w:pP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3 evaluation results for SBFD operations in deployment case-1</w:t>
      </w:r>
      <w:r>
        <w:rPr>
          <w:rFonts w:eastAsiaTheme="minorEastAsia" w:hint="eastAsia"/>
          <w:lang w:eastAsia="zh-CN"/>
        </w:rPr>
        <w:t xml:space="preserve"> </w:t>
      </w:r>
      <w:r>
        <w:rPr>
          <w:rFonts w:eastAsiaTheme="minorEastAsia"/>
          <w:lang w:eastAsia="zh-CN"/>
        </w:rPr>
        <w:t>with medium load</w:t>
      </w:r>
    </w:p>
    <w:tbl>
      <w:tblPr>
        <w:tblW w:w="9919" w:type="dxa"/>
        <w:tblInd w:w="108" w:type="dxa"/>
        <w:tblLayout w:type="fixed"/>
        <w:tblLook w:val="04A0"/>
      </w:tblPr>
      <w:tblGrid>
        <w:gridCol w:w="1417"/>
        <w:gridCol w:w="1417"/>
        <w:gridCol w:w="1417"/>
        <w:gridCol w:w="1417"/>
        <w:gridCol w:w="1417"/>
        <w:gridCol w:w="1417"/>
        <w:gridCol w:w="1417"/>
      </w:tblGrid>
      <w:tr w:rsidR="003D7AEB">
        <w:trPr>
          <w:trHeight w:val="1056"/>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16210.29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6031.07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386478.09</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113561.84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27%</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16208.33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6058.01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273775.02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253597.20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13%</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16212.80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6029.05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390793.63</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99356.48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29%</w:t>
            </w:r>
          </w:p>
        </w:tc>
      </w:tr>
    </w:tbl>
    <w:p w:rsidR="003D7AEB" w:rsidRDefault="003D7AEB">
      <w:pPr>
        <w:pStyle w:val="ListParagraph"/>
        <w:numPr>
          <w:ilvl w:val="0"/>
          <w:numId w:val="0"/>
        </w:numPr>
        <w:ind w:left="840"/>
        <w:rPr>
          <w:rFonts w:eastAsiaTheme="minorEastAsia"/>
        </w:rPr>
      </w:pPr>
    </w:p>
    <w:p w:rsidR="003D7AEB" w:rsidRDefault="000C2D9D">
      <w:pPr>
        <w:jc w:val="center"/>
        <w:rPr>
          <w:rFonts w:eastAsiaTheme="minorEastAsia"/>
          <w:lang w:eastAsia="zh-CN"/>
        </w:rPr>
      </w:pPr>
      <w:r>
        <w:rPr>
          <w:rFonts w:eastAsiaTheme="minorEastAsia" w:hint="eastAsia"/>
          <w:lang w:eastAsia="zh-CN"/>
        </w:rPr>
        <w:t>T</w:t>
      </w:r>
      <w:r>
        <w:rPr>
          <w:rFonts w:eastAsiaTheme="minorEastAsia"/>
          <w:lang w:eastAsia="zh-CN"/>
        </w:rPr>
        <w:t>able 4 evaluation results for SBFD operations in deployment case-1</w:t>
      </w:r>
      <w:r>
        <w:rPr>
          <w:rFonts w:eastAsiaTheme="minorEastAsia" w:hint="eastAsia"/>
          <w:lang w:eastAsia="zh-CN"/>
        </w:rPr>
        <w:t xml:space="preserve"> </w:t>
      </w:r>
      <w:r>
        <w:rPr>
          <w:rFonts w:eastAsiaTheme="minorEastAsia"/>
          <w:lang w:eastAsia="zh-CN"/>
        </w:rPr>
        <w:t>with high load</w:t>
      </w:r>
    </w:p>
    <w:tbl>
      <w:tblPr>
        <w:tblW w:w="9919" w:type="dxa"/>
        <w:tblInd w:w="108" w:type="dxa"/>
        <w:tblLook w:val="04A0"/>
      </w:tblPr>
      <w:tblGrid>
        <w:gridCol w:w="1417"/>
        <w:gridCol w:w="1417"/>
        <w:gridCol w:w="1417"/>
        <w:gridCol w:w="1417"/>
        <w:gridCol w:w="1417"/>
        <w:gridCol w:w="1417"/>
        <w:gridCol w:w="1417"/>
      </w:tblGrid>
      <w:tr w:rsidR="003D7AEB">
        <w:trPr>
          <w:trHeight w:val="768"/>
        </w:trPr>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TDD slot configuration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Throughput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DL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Avg. UL UPT per UE (kbps)</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DL</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AEB" w:rsidRDefault="00A5267E">
            <w:pPr>
              <w:spacing w:after="0" w:line="240" w:lineRule="auto"/>
              <w:jc w:val="center"/>
              <w:rPr>
                <w:rFonts w:eastAsia="等线"/>
                <w:color w:val="000000"/>
                <w:szCs w:val="20"/>
                <w:lang w:eastAsia="zh-CN"/>
              </w:rPr>
            </w:pPr>
            <w:r>
              <w:rPr>
                <w:rFonts w:eastAsia="等线"/>
                <w:color w:val="000000"/>
                <w:szCs w:val="20"/>
                <w:lang w:eastAsia="zh-CN"/>
              </w:rPr>
              <w:t xml:space="preserve">Type-2 </w:t>
            </w:r>
            <w:r w:rsidR="000C2D9D">
              <w:rPr>
                <w:rFonts w:eastAsia="等线"/>
                <w:color w:val="000000"/>
                <w:szCs w:val="20"/>
                <w:lang w:eastAsia="zh-CN"/>
              </w:rPr>
              <w:t>RU for UL</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DDDSU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24044.40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8101.50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262240.44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74058.87</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48%</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50%</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XXXXU</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23949.36</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8132.70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171480.30</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215463.51</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20%</w:t>
            </w:r>
          </w:p>
        </w:tc>
      </w:tr>
      <w:tr w:rsidR="003D7AEB">
        <w:trPr>
          <w:trHeight w:val="276"/>
        </w:trPr>
        <w:tc>
          <w:tcPr>
            <w:tcW w:w="1417" w:type="dxa"/>
            <w:tcBorders>
              <w:top w:val="nil"/>
              <w:left w:val="single" w:sz="4" w:space="0" w:color="auto"/>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XXXXX</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24046.94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8099.32</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256060.96</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64124.25</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44%</w:t>
            </w:r>
          </w:p>
        </w:tc>
        <w:tc>
          <w:tcPr>
            <w:tcW w:w="1417" w:type="dxa"/>
            <w:tcBorders>
              <w:top w:val="nil"/>
              <w:left w:val="nil"/>
              <w:bottom w:val="single" w:sz="4" w:space="0" w:color="auto"/>
              <w:right w:val="single" w:sz="4" w:space="0" w:color="auto"/>
            </w:tcBorders>
            <w:shd w:val="clear" w:color="auto" w:fill="auto"/>
            <w:noWrap/>
            <w:vAlign w:val="center"/>
          </w:tcPr>
          <w:p w:rsidR="003D7AEB" w:rsidRDefault="000C2D9D">
            <w:pPr>
              <w:spacing w:after="0" w:line="240" w:lineRule="auto"/>
              <w:jc w:val="center"/>
              <w:rPr>
                <w:rFonts w:eastAsia="等线"/>
                <w:color w:val="000000"/>
                <w:szCs w:val="20"/>
                <w:lang w:eastAsia="zh-CN"/>
              </w:rPr>
            </w:pPr>
            <w:r>
              <w:rPr>
                <w:rFonts w:eastAsia="等线"/>
                <w:color w:val="000000"/>
                <w:szCs w:val="20"/>
                <w:lang w:eastAsia="zh-CN"/>
              </w:rPr>
              <w:t>53%</w:t>
            </w:r>
          </w:p>
        </w:tc>
      </w:tr>
    </w:tbl>
    <w:p w:rsidR="003D7AEB" w:rsidRDefault="000C2D9D">
      <w:pPr>
        <w:spacing w:before="120"/>
        <w:rPr>
          <w:rFonts w:eastAsiaTheme="minorEastAsia"/>
          <w:lang w:eastAsia="zh-CN"/>
        </w:rPr>
      </w:pPr>
      <w:r>
        <w:rPr>
          <w:rFonts w:eastAsiaTheme="minorEastAsia"/>
          <w:lang w:eastAsia="zh-CN"/>
        </w:rPr>
        <w:t>Observations from Tables 2~4 include:</w:t>
      </w:r>
    </w:p>
    <w:p w:rsidR="003D7AEB" w:rsidRDefault="000C2D9D">
      <w:pPr>
        <w:pStyle w:val="ListParagraph"/>
        <w:numPr>
          <w:ilvl w:val="0"/>
          <w:numId w:val="7"/>
        </w:numPr>
        <w:rPr>
          <w:rFonts w:eastAsiaTheme="minorEastAsia"/>
        </w:rPr>
      </w:pPr>
      <w:r>
        <w:rPr>
          <w:rFonts w:eastAsiaTheme="minorEastAsia"/>
        </w:rPr>
        <w:t xml:space="preserve">The average DL/UL throughputs for each UE are similar between legacy TDD case and SBFD case, because almost all packets are delivered successfully with sufficient resource under the given low-to-high traffic loads. </w:t>
      </w:r>
    </w:p>
    <w:p w:rsidR="003D7AEB" w:rsidRDefault="000C2D9D">
      <w:pPr>
        <w:pStyle w:val="ListParagraph"/>
        <w:numPr>
          <w:ilvl w:val="0"/>
          <w:numId w:val="7"/>
        </w:numPr>
        <w:rPr>
          <w:rFonts w:eastAsiaTheme="minorEastAsia"/>
        </w:rPr>
      </w:pPr>
      <w:r>
        <w:rPr>
          <w:rFonts w:eastAsiaTheme="minorEastAsia"/>
        </w:rPr>
        <w:t xml:space="preserve">For XXXXU case, UL subband in each {D,S} slot makes the average UL UPT per UE per packet higher than that in legacy TDD case due to the more frequent availability of UL resources in every slot. On the other hand, </w:t>
      </w:r>
      <w:r>
        <w:rPr>
          <w:rFonts w:eastAsiaTheme="minorEastAsia"/>
        </w:rPr>
        <w:lastRenderedPageBreak/>
        <w:t>the average DL UPT per UE per packet decreases from the one in legacy TDD case due to the reduced amount of available DL resources in SBFD slots.</w:t>
      </w:r>
    </w:p>
    <w:p w:rsidR="003D7AEB" w:rsidRDefault="000C2D9D">
      <w:pPr>
        <w:pStyle w:val="ListParagraph"/>
        <w:numPr>
          <w:ilvl w:val="0"/>
          <w:numId w:val="7"/>
        </w:numPr>
        <w:rPr>
          <w:rFonts w:eastAsiaTheme="minorEastAsia"/>
        </w:rPr>
      </w:pPr>
      <w:r>
        <w:rPr>
          <w:rFonts w:eastAsiaTheme="minorEastAsia"/>
        </w:rPr>
        <w:t>For XXXXX case, the total resources for uplink and downlink over 5 slots are similar to those in legacy TDD case (D:U</w:t>
      </w:r>
      <w:r>
        <w:rPr>
          <w:rFonts w:eastAsiaTheme="minorEastAsia" w:cs="Times New Roman"/>
        </w:rPr>
        <w:t>≈</w:t>
      </w:r>
      <w:r>
        <w:rPr>
          <w:rFonts w:eastAsiaTheme="minorEastAsia"/>
        </w:rPr>
        <w:t>4:1). Meanwhile, the available resources for uplink or downlink in a slot are smaller than those peak amounts in legacy TDD UL slot or legacy TDD DL slot. More “X” slots are needed to transmit the FTP packet in uplink. So the UL UPT is smaller than the one in legacy TDD case for all selected traffic loads.</w:t>
      </w:r>
    </w:p>
    <w:p w:rsidR="003D7AEB" w:rsidRDefault="003D7AEB">
      <w:pPr>
        <w:rPr>
          <w:rFonts w:eastAsiaTheme="minorEastAsia"/>
        </w:rPr>
      </w:pPr>
    </w:p>
    <w:p w:rsidR="003D7AEB" w:rsidRDefault="000C2D9D">
      <w:pPr>
        <w:rPr>
          <w:rFonts w:eastAsiaTheme="minorEastAsia"/>
          <w:lang w:eastAsia="zh-CN"/>
        </w:rPr>
      </w:pPr>
      <w:r>
        <w:rPr>
          <w:noProof/>
          <w:lang w:eastAsia="zh-CN"/>
        </w:rPr>
        <w:drawing>
          <wp:inline distT="0" distB="0" distL="0" distR="0">
            <wp:extent cx="6188710" cy="38220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6188710" cy="3822065"/>
                    </a:xfrm>
                    <a:prstGeom prst="rect">
                      <a:avLst/>
                    </a:prstGeom>
                  </pic:spPr>
                </pic:pic>
              </a:graphicData>
            </a:graphic>
          </wp:inline>
        </w:drawing>
      </w:r>
      <w:bookmarkStart w:id="0" w:name="_GoBack"/>
      <w:bookmarkEnd w:id="0"/>
    </w:p>
    <w:p w:rsidR="003D7AEB" w:rsidRDefault="000C2D9D">
      <w:pPr>
        <w:jc w:val="center"/>
        <w:rPr>
          <w:rFonts w:eastAsiaTheme="minorEastAsia"/>
          <w:lang w:eastAsia="zh-CN"/>
        </w:rPr>
      </w:pPr>
      <w:r>
        <w:rPr>
          <w:rFonts w:eastAsiaTheme="minorEastAsia" w:hint="eastAsia"/>
          <w:lang w:eastAsia="zh-CN"/>
        </w:rPr>
        <w:t>F</w:t>
      </w:r>
      <w:r>
        <w:rPr>
          <w:rFonts w:eastAsiaTheme="minorEastAsia"/>
          <w:lang w:eastAsia="zh-CN"/>
        </w:rPr>
        <w:t>igure 1 Distribution for average packet latency</w:t>
      </w:r>
    </w:p>
    <w:p w:rsidR="003D7AEB" w:rsidRDefault="000C2D9D">
      <w:pPr>
        <w:rPr>
          <w:rFonts w:eastAsiaTheme="minorEastAsia"/>
        </w:rPr>
      </w:pPr>
      <w:r>
        <w:rPr>
          <w:rFonts w:eastAsiaTheme="minorEastAsia"/>
        </w:rPr>
        <w:t>Figur</w:t>
      </w:r>
      <w:r w:rsidR="00AA4A80">
        <w:rPr>
          <w:rFonts w:eastAsiaTheme="minorEastAsia"/>
        </w:rPr>
        <w:t>e 1 gives</w:t>
      </w:r>
      <w:r>
        <w:rPr>
          <w:rFonts w:eastAsiaTheme="minorEastAsia"/>
        </w:rPr>
        <w:t xml:space="preserve"> the distribution </w:t>
      </w:r>
      <w:r w:rsidR="00AA4A80">
        <w:rPr>
          <w:rFonts w:eastAsiaTheme="minorEastAsia"/>
        </w:rPr>
        <w:t>of average latency per</w:t>
      </w:r>
      <w:r>
        <w:rPr>
          <w:rFonts w:eastAsiaTheme="minorEastAsia"/>
        </w:rPr>
        <w:t xml:space="preserve"> UE. </w:t>
      </w:r>
      <w:r w:rsidR="00AA4A80">
        <w:rPr>
          <w:rFonts w:eastAsiaTheme="minorEastAsia"/>
        </w:rPr>
        <w:t xml:space="preserve">It shows that, when SBFD is applied, </w:t>
      </w:r>
    </w:p>
    <w:p w:rsidR="003D7AEB" w:rsidRDefault="00AA4A80">
      <w:pPr>
        <w:pStyle w:val="ListParagraph"/>
        <w:numPr>
          <w:ilvl w:val="0"/>
          <w:numId w:val="8"/>
        </w:numPr>
        <w:rPr>
          <w:rFonts w:eastAsiaTheme="minorEastAsia"/>
        </w:rPr>
      </w:pPr>
      <w:r>
        <w:rPr>
          <w:rFonts w:eastAsiaTheme="minorEastAsia"/>
        </w:rPr>
        <w:t>T</w:t>
      </w:r>
      <w:r w:rsidR="000C2D9D">
        <w:rPr>
          <w:rFonts w:eastAsiaTheme="minorEastAsia"/>
        </w:rPr>
        <w:t xml:space="preserve">he latency for uplink </w:t>
      </w:r>
      <w:r>
        <w:rPr>
          <w:rFonts w:eastAsiaTheme="minorEastAsia"/>
        </w:rPr>
        <w:t>follows XXXXU &lt; DDDSU &lt; XXXXX, where the latency gap between XXXXU and legacy DDDSU is quite large and obvious, while the latency gap between DDDSU and XXXXX is moderately small.</w:t>
      </w:r>
    </w:p>
    <w:p w:rsidR="003D7AEB" w:rsidRDefault="000C2D9D">
      <w:pPr>
        <w:pStyle w:val="ListParagraph"/>
        <w:numPr>
          <w:ilvl w:val="0"/>
          <w:numId w:val="8"/>
        </w:numPr>
        <w:rPr>
          <w:rFonts w:eastAsiaTheme="minorEastAsia"/>
        </w:rPr>
      </w:pPr>
      <w:r>
        <w:rPr>
          <w:rFonts w:eastAsiaTheme="minorEastAsia"/>
        </w:rPr>
        <w:t xml:space="preserve">The latency for downlink </w:t>
      </w:r>
      <w:r w:rsidR="00AA4A80">
        <w:rPr>
          <w:rFonts w:eastAsiaTheme="minorEastAsia"/>
        </w:rPr>
        <w:t xml:space="preserve">follows </w:t>
      </w:r>
      <w:r w:rsidR="003E76C2">
        <w:rPr>
          <w:rFonts w:eastAsiaTheme="minorEastAsia"/>
        </w:rPr>
        <w:t xml:space="preserve">XXXXX </w:t>
      </w:r>
      <w:r w:rsidR="003E76C2">
        <w:rPr>
          <w:rFonts w:eastAsiaTheme="minorEastAsia" w:cs="Times New Roman"/>
        </w:rPr>
        <w:t xml:space="preserve">≈ </w:t>
      </w:r>
      <w:r w:rsidR="00AA4A80">
        <w:rPr>
          <w:rFonts w:eastAsiaTheme="minorEastAsia"/>
        </w:rPr>
        <w:t xml:space="preserve">DDDSU </w:t>
      </w:r>
      <w:r w:rsidR="003E76C2">
        <w:rPr>
          <w:rFonts w:eastAsiaTheme="minorEastAsia"/>
        </w:rPr>
        <w:t>&lt; XXXXU, where the latency gap between XXXXU and legacy DDDSU is obvious</w:t>
      </w:r>
      <w:r>
        <w:rPr>
          <w:rFonts w:eastAsiaTheme="minorEastAsia"/>
        </w:rPr>
        <w:t>.</w:t>
      </w:r>
    </w:p>
    <w:p w:rsidR="003D7AEB" w:rsidRDefault="003E76C2">
      <w:pPr>
        <w:rPr>
          <w:rFonts w:eastAsiaTheme="minorEastAsia"/>
          <w:lang w:eastAsia="zh-CN"/>
        </w:rPr>
      </w:pPr>
      <w:r>
        <w:rPr>
          <w:rFonts w:eastAsiaTheme="minorEastAsia"/>
          <w:lang w:eastAsia="zh-CN"/>
        </w:rPr>
        <w:t>Figure 2 gives</w:t>
      </w:r>
      <w:r w:rsidR="000C2D9D">
        <w:rPr>
          <w:rFonts w:eastAsiaTheme="minorEastAsia"/>
          <w:lang w:eastAsia="zh-CN"/>
        </w:rPr>
        <w:t xml:space="preserve"> </w:t>
      </w:r>
      <w:r>
        <w:rPr>
          <w:rFonts w:eastAsiaTheme="minorEastAsia"/>
          <w:lang w:eastAsia="zh-CN"/>
        </w:rPr>
        <w:t xml:space="preserve">the </w:t>
      </w:r>
      <w:r w:rsidR="000C2D9D">
        <w:rPr>
          <w:rFonts w:eastAsiaTheme="minorEastAsia"/>
          <w:lang w:eastAsia="zh-CN"/>
        </w:rPr>
        <w:t>distribution of ave</w:t>
      </w:r>
      <w:r>
        <w:rPr>
          <w:rFonts w:eastAsiaTheme="minorEastAsia"/>
          <w:lang w:eastAsia="zh-CN"/>
        </w:rPr>
        <w:t>rage UPT per</w:t>
      </w:r>
      <w:r w:rsidR="000C2D9D">
        <w:rPr>
          <w:rFonts w:eastAsiaTheme="minorEastAsia"/>
          <w:lang w:eastAsia="zh-CN"/>
        </w:rPr>
        <w:t xml:space="preserve"> UE</w:t>
      </w:r>
      <w:r>
        <w:rPr>
          <w:rFonts w:eastAsiaTheme="minorEastAsia"/>
          <w:lang w:eastAsia="zh-CN"/>
        </w:rPr>
        <w:t>, matching what are given in Figure 1</w:t>
      </w:r>
      <w:r w:rsidR="000C2D9D">
        <w:rPr>
          <w:rFonts w:eastAsiaTheme="minorEastAsia"/>
          <w:lang w:eastAsia="zh-CN"/>
        </w:rPr>
        <w:t xml:space="preserve">. </w:t>
      </w:r>
      <w:r>
        <w:rPr>
          <w:rFonts w:eastAsiaTheme="minorEastAsia"/>
        </w:rPr>
        <w:t>It shows that, when SBFD is applied,</w:t>
      </w:r>
    </w:p>
    <w:p w:rsidR="003D7AEB" w:rsidRDefault="000C2D9D">
      <w:pPr>
        <w:pStyle w:val="ListParagraph"/>
        <w:numPr>
          <w:ilvl w:val="0"/>
          <w:numId w:val="9"/>
        </w:numPr>
        <w:rPr>
          <w:rFonts w:eastAsiaTheme="minorEastAsia"/>
        </w:rPr>
      </w:pPr>
      <w:r>
        <w:rPr>
          <w:rFonts w:eastAsiaTheme="minorEastAsia"/>
        </w:rPr>
        <w:lastRenderedPageBreak/>
        <w:t xml:space="preserve">The uplink UPT </w:t>
      </w:r>
      <w:r w:rsidR="003E76C2">
        <w:rPr>
          <w:rFonts w:eastAsiaTheme="minorEastAsia"/>
        </w:rPr>
        <w:t>follows XXXXU &gt; DDDSU &gt; XXXXX, where the UPT gap between XXXXU and legacy DDDSU is obvious, while the UPT gap between DDDSU and XXXXX is moderately small</w:t>
      </w:r>
      <w:r>
        <w:rPr>
          <w:rFonts w:eastAsiaTheme="minorEastAsia"/>
        </w:rPr>
        <w:t>.</w:t>
      </w:r>
    </w:p>
    <w:p w:rsidR="003D7AEB" w:rsidRDefault="000C2D9D">
      <w:pPr>
        <w:pStyle w:val="ListParagraph"/>
        <w:numPr>
          <w:ilvl w:val="0"/>
          <w:numId w:val="9"/>
        </w:numPr>
        <w:rPr>
          <w:rFonts w:eastAsiaTheme="minorEastAsia"/>
        </w:rPr>
      </w:pPr>
      <w:r>
        <w:rPr>
          <w:rFonts w:eastAsiaTheme="minorEastAsia"/>
        </w:rPr>
        <w:t xml:space="preserve">The downlink UPT </w:t>
      </w:r>
      <w:r w:rsidR="003E76C2">
        <w:rPr>
          <w:rFonts w:eastAsiaTheme="minorEastAsia"/>
        </w:rPr>
        <w:t xml:space="preserve">follows XXXXX </w:t>
      </w:r>
      <w:r w:rsidR="003E76C2">
        <w:rPr>
          <w:rFonts w:eastAsiaTheme="minorEastAsia" w:cs="Times New Roman"/>
        </w:rPr>
        <w:t xml:space="preserve">≈ </w:t>
      </w:r>
      <w:r w:rsidR="003E76C2">
        <w:rPr>
          <w:rFonts w:eastAsiaTheme="minorEastAsia"/>
        </w:rPr>
        <w:t>DDDSU &gt; XXXXU, where the UPT gap between XXXXU and legacy DDDSU is quite obvious.</w:t>
      </w:r>
    </w:p>
    <w:p w:rsidR="003D7AEB" w:rsidRDefault="000C2D9D">
      <w:pPr>
        <w:rPr>
          <w:rFonts w:eastAsiaTheme="minorEastAsia"/>
          <w:lang w:eastAsia="zh-CN"/>
        </w:rPr>
      </w:pPr>
      <w:r>
        <w:rPr>
          <w:noProof/>
          <w:lang w:eastAsia="zh-CN"/>
        </w:rPr>
        <w:drawing>
          <wp:inline distT="0" distB="0" distL="0" distR="0">
            <wp:extent cx="6188710" cy="36753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cstate="print"/>
                    <a:stretch>
                      <a:fillRect/>
                    </a:stretch>
                  </pic:blipFill>
                  <pic:spPr>
                    <a:xfrm>
                      <a:off x="0" y="0"/>
                      <a:ext cx="6188710" cy="3675380"/>
                    </a:xfrm>
                    <a:prstGeom prst="rect">
                      <a:avLst/>
                    </a:prstGeom>
                  </pic:spPr>
                </pic:pic>
              </a:graphicData>
            </a:graphic>
          </wp:inline>
        </w:drawing>
      </w:r>
    </w:p>
    <w:p w:rsidR="003D7AEB" w:rsidRDefault="000C2D9D">
      <w:pPr>
        <w:jc w:val="center"/>
        <w:rPr>
          <w:rFonts w:eastAsiaTheme="minorEastAsia"/>
          <w:lang w:eastAsia="zh-CN"/>
        </w:rPr>
      </w:pPr>
      <w:r>
        <w:rPr>
          <w:rFonts w:eastAsiaTheme="minorEastAsia" w:hint="eastAsia"/>
          <w:lang w:eastAsia="zh-CN"/>
        </w:rPr>
        <w:t>F</w:t>
      </w:r>
      <w:r>
        <w:rPr>
          <w:rFonts w:eastAsiaTheme="minorEastAsia"/>
          <w:lang w:eastAsia="zh-CN"/>
        </w:rPr>
        <w:t>igure 2 Distribution for average UPT</w:t>
      </w:r>
    </w:p>
    <w:p w:rsidR="003D7AEB" w:rsidRDefault="000C2D9D">
      <w:pPr>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1: The UL subband over DL symbols would not </w:t>
      </w:r>
      <w:r w:rsidR="00552389">
        <w:rPr>
          <w:rFonts w:eastAsiaTheme="minorEastAsia"/>
          <w:b/>
          <w:i/>
          <w:lang w:eastAsia="zh-CN"/>
        </w:rPr>
        <w:t xml:space="preserve">have big </w:t>
      </w:r>
      <w:r>
        <w:rPr>
          <w:rFonts w:eastAsiaTheme="minorEastAsia"/>
          <w:b/>
          <w:i/>
          <w:lang w:eastAsia="zh-CN"/>
        </w:rPr>
        <w:t xml:space="preserve">impact </w:t>
      </w:r>
      <w:r w:rsidR="00552389">
        <w:rPr>
          <w:rFonts w:eastAsiaTheme="minorEastAsia"/>
          <w:b/>
          <w:i/>
          <w:lang w:eastAsia="zh-CN"/>
        </w:rPr>
        <w:t xml:space="preserve">to </w:t>
      </w:r>
      <w:r>
        <w:rPr>
          <w:rFonts w:eastAsiaTheme="minorEastAsia"/>
          <w:b/>
          <w:i/>
          <w:lang w:eastAsia="zh-CN"/>
        </w:rPr>
        <w:t>the average throughput per UE.</w:t>
      </w:r>
    </w:p>
    <w:p w:rsidR="003D7AEB" w:rsidRDefault="00552389">
      <w:pPr>
        <w:rPr>
          <w:rFonts w:eastAsiaTheme="minorEastAsia"/>
          <w:b/>
          <w:i/>
          <w:lang w:eastAsia="zh-CN"/>
        </w:rPr>
      </w:pPr>
      <w:r>
        <w:rPr>
          <w:rFonts w:eastAsiaTheme="minorEastAsia"/>
          <w:b/>
          <w:i/>
          <w:lang w:eastAsia="zh-CN"/>
        </w:rPr>
        <w:t>Observation 2: The comparison between</w:t>
      </w:r>
      <w:r w:rsidR="00757A68">
        <w:rPr>
          <w:rFonts w:eastAsiaTheme="minorEastAsia"/>
          <w:b/>
          <w:i/>
          <w:lang w:eastAsia="zh-CN"/>
        </w:rPr>
        <w:t xml:space="preserve"> DDDSU and</w:t>
      </w:r>
      <w:r>
        <w:rPr>
          <w:rFonts w:eastAsiaTheme="minorEastAsia"/>
          <w:b/>
          <w:i/>
          <w:lang w:eastAsia="zh-CN"/>
        </w:rPr>
        <w:t xml:space="preserve"> XXXXU shows that the setup of UL subband over DL symbols improves</w:t>
      </w:r>
      <w:r w:rsidR="000C2D9D">
        <w:rPr>
          <w:rFonts w:eastAsiaTheme="minorEastAsia"/>
          <w:b/>
          <w:i/>
          <w:lang w:eastAsia="zh-CN"/>
        </w:rPr>
        <w:t xml:space="preserve"> the </w:t>
      </w:r>
      <w:r>
        <w:rPr>
          <w:rFonts w:eastAsiaTheme="minorEastAsia"/>
          <w:b/>
          <w:i/>
          <w:lang w:eastAsia="zh-CN"/>
        </w:rPr>
        <w:t xml:space="preserve">UL </w:t>
      </w:r>
      <w:r w:rsidR="000C2D9D">
        <w:rPr>
          <w:rFonts w:eastAsiaTheme="minorEastAsia"/>
          <w:b/>
          <w:i/>
          <w:lang w:eastAsia="zh-CN"/>
        </w:rPr>
        <w:t xml:space="preserve">latency and </w:t>
      </w:r>
      <w:r>
        <w:rPr>
          <w:rFonts w:eastAsiaTheme="minorEastAsia"/>
          <w:b/>
          <w:i/>
          <w:lang w:eastAsia="zh-CN"/>
        </w:rPr>
        <w:t>UL UPT obviously</w:t>
      </w:r>
      <w:r w:rsidR="000C2D9D">
        <w:rPr>
          <w:rFonts w:eastAsiaTheme="minorEastAsia"/>
          <w:b/>
          <w:i/>
          <w:lang w:eastAsia="zh-CN"/>
        </w:rPr>
        <w:t>.</w:t>
      </w:r>
    </w:p>
    <w:p w:rsidR="003D7AEB" w:rsidRDefault="000C2D9D">
      <w:pPr>
        <w:rPr>
          <w:rFonts w:eastAsiaTheme="minorEastAsia"/>
          <w:b/>
          <w:i/>
          <w:lang w:eastAsia="zh-CN"/>
        </w:rPr>
      </w:pPr>
      <w:r>
        <w:rPr>
          <w:rFonts w:eastAsiaTheme="minorEastAsia"/>
          <w:b/>
          <w:i/>
          <w:lang w:eastAsia="zh-CN"/>
        </w:rPr>
        <w:t xml:space="preserve">Observation 3: </w:t>
      </w:r>
      <w:r w:rsidR="00552389">
        <w:rPr>
          <w:rFonts w:eastAsiaTheme="minorEastAsia"/>
          <w:b/>
          <w:i/>
          <w:lang w:eastAsia="zh-CN"/>
        </w:rPr>
        <w:t>With the given traffic model (e.g., packet size, packet arrival time, etc), the comparison between</w:t>
      </w:r>
      <w:r w:rsidR="00757A68">
        <w:rPr>
          <w:rFonts w:eastAsiaTheme="minorEastAsia"/>
          <w:b/>
          <w:i/>
          <w:lang w:eastAsia="zh-CN"/>
        </w:rPr>
        <w:t xml:space="preserve"> DDDSU and XXXXX</w:t>
      </w:r>
      <w:r w:rsidR="00552389">
        <w:rPr>
          <w:rFonts w:eastAsiaTheme="minorEastAsia"/>
          <w:b/>
          <w:i/>
          <w:lang w:eastAsia="zh-CN"/>
        </w:rPr>
        <w:t xml:space="preserve"> </w:t>
      </w:r>
      <w:r w:rsidR="00757A68">
        <w:rPr>
          <w:rFonts w:eastAsiaTheme="minorEastAsia"/>
          <w:b/>
          <w:i/>
          <w:lang w:eastAsia="zh-CN"/>
        </w:rPr>
        <w:t>shows that the set</w:t>
      </w:r>
      <w:r w:rsidR="00552389">
        <w:rPr>
          <w:rFonts w:eastAsiaTheme="minorEastAsia"/>
          <w:b/>
          <w:i/>
          <w:lang w:eastAsia="zh-CN"/>
        </w:rPr>
        <w:t xml:space="preserve">up </w:t>
      </w:r>
      <w:r w:rsidR="00757A68">
        <w:rPr>
          <w:rFonts w:eastAsiaTheme="minorEastAsia"/>
          <w:b/>
          <w:i/>
          <w:lang w:eastAsia="zh-CN"/>
        </w:rPr>
        <w:t xml:space="preserve">of </w:t>
      </w:r>
      <w:r w:rsidR="00552389">
        <w:rPr>
          <w:rFonts w:eastAsiaTheme="minorEastAsia"/>
          <w:b/>
          <w:i/>
          <w:lang w:eastAsia="zh-CN"/>
        </w:rPr>
        <w:t xml:space="preserve">gNB-perspective full-duplex in every slot </w:t>
      </w:r>
      <w:r w:rsidR="00DE12D9">
        <w:rPr>
          <w:rFonts w:eastAsiaTheme="minorEastAsia"/>
          <w:b/>
          <w:i/>
          <w:lang w:eastAsia="zh-CN"/>
        </w:rPr>
        <w:t xml:space="preserve">while maintaining the universal D/U resource ratio similar to the legacy TDD does not </w:t>
      </w:r>
      <w:r w:rsidR="00552389">
        <w:rPr>
          <w:rFonts w:eastAsiaTheme="minorEastAsia"/>
          <w:b/>
          <w:i/>
          <w:lang w:eastAsia="zh-CN"/>
        </w:rPr>
        <w:t xml:space="preserve">either improve or </w:t>
      </w:r>
      <w:r w:rsidR="000523E4">
        <w:rPr>
          <w:rFonts w:eastAsiaTheme="minorEastAsia"/>
          <w:b/>
          <w:i/>
          <w:lang w:eastAsia="zh-CN"/>
        </w:rPr>
        <w:t>degrade</w:t>
      </w:r>
      <w:r w:rsidR="00552389">
        <w:rPr>
          <w:rFonts w:eastAsiaTheme="minorEastAsia"/>
          <w:b/>
          <w:i/>
          <w:lang w:eastAsia="zh-CN"/>
        </w:rPr>
        <w:t xml:space="preserve"> UL latency/UP</w:t>
      </w:r>
      <w:r w:rsidR="00757A68">
        <w:rPr>
          <w:rFonts w:eastAsiaTheme="minorEastAsia"/>
          <w:b/>
          <w:i/>
          <w:lang w:eastAsia="zh-CN"/>
        </w:rPr>
        <w:t>T and DL latency/UPT very much</w:t>
      </w:r>
      <w:r w:rsidR="00552389">
        <w:rPr>
          <w:rFonts w:eastAsiaTheme="minorEastAsia"/>
          <w:b/>
          <w:i/>
          <w:lang w:eastAsia="zh-CN"/>
        </w:rPr>
        <w:t xml:space="preserve">. </w:t>
      </w:r>
    </w:p>
    <w:p w:rsidR="003D7AEB" w:rsidRDefault="000C2D9D">
      <w:pPr>
        <w:pStyle w:val="Heading1"/>
        <w:rPr>
          <w:rFonts w:eastAsiaTheme="minorEastAsia"/>
          <w:color w:val="000000" w:themeColor="text1"/>
          <w:lang w:eastAsia="zh-CN"/>
        </w:rPr>
      </w:pPr>
      <w:r>
        <w:rPr>
          <w:rFonts w:eastAsiaTheme="minorEastAsia"/>
          <w:color w:val="000000" w:themeColor="text1"/>
          <w:lang w:eastAsia="zh-CN"/>
        </w:rPr>
        <w:t>Conclusion</w:t>
      </w:r>
    </w:p>
    <w:p w:rsidR="003D7AEB" w:rsidRDefault="000C2D9D">
      <w:pPr>
        <w:rPr>
          <w:rFonts w:eastAsiaTheme="minorEastAsia"/>
          <w:color w:val="000000" w:themeColor="text1"/>
          <w:lang w:eastAsia="zh-CN"/>
        </w:rPr>
      </w:pPr>
      <w:r>
        <w:rPr>
          <w:rFonts w:eastAsiaTheme="minorEastAsia"/>
          <w:color w:val="000000" w:themeColor="text1"/>
          <w:lang w:eastAsia="zh-CN"/>
        </w:rPr>
        <w:t>In this contribution, we show our views on evaluation on NR duplex evolution with following proposals:</w:t>
      </w:r>
    </w:p>
    <w:p w:rsidR="003D7AEB" w:rsidRDefault="000C2D9D">
      <w:pPr>
        <w:rPr>
          <w:rFonts w:eastAsia="SimSun"/>
          <w:b/>
          <w:i/>
          <w:lang w:eastAsia="zh-CN"/>
        </w:rPr>
      </w:pPr>
      <w:r>
        <w:rPr>
          <w:rFonts w:eastAsia="SimSun"/>
          <w:b/>
          <w:i/>
          <w:lang w:eastAsia="zh-CN"/>
        </w:rPr>
        <w:t xml:space="preserve">Proposal 1: gNB antenna architecture, TX/RX beamforming and RSIC need be </w:t>
      </w:r>
      <w:r w:rsidR="00526087">
        <w:rPr>
          <w:rFonts w:eastAsia="SimSun"/>
          <w:b/>
          <w:i/>
          <w:lang w:eastAsia="zh-CN"/>
        </w:rPr>
        <w:t>modeled</w:t>
      </w:r>
      <w:r>
        <w:rPr>
          <w:rFonts w:eastAsia="SimSun"/>
          <w:b/>
          <w:i/>
          <w:lang w:eastAsia="zh-CN"/>
        </w:rPr>
        <w:t xml:space="preserve"> in SLS at least for gNB self-interference.</w:t>
      </w:r>
    </w:p>
    <w:p w:rsidR="00757A68" w:rsidRDefault="00757A68" w:rsidP="00757A68">
      <w:pPr>
        <w:rPr>
          <w:rFonts w:eastAsiaTheme="minorEastAsia"/>
          <w:b/>
          <w:i/>
          <w:lang w:eastAsia="zh-CN"/>
        </w:rPr>
      </w:pPr>
      <w:r>
        <w:rPr>
          <w:rFonts w:eastAsiaTheme="minorEastAsia" w:hint="eastAsia"/>
          <w:b/>
          <w:i/>
          <w:lang w:eastAsia="zh-CN"/>
        </w:rPr>
        <w:t>O</w:t>
      </w:r>
      <w:r>
        <w:rPr>
          <w:rFonts w:eastAsiaTheme="minorEastAsia"/>
          <w:b/>
          <w:i/>
          <w:lang w:eastAsia="zh-CN"/>
        </w:rPr>
        <w:t>bservation 1: The UL subband over DL symbols would not have big impact to the average throughput per UE.</w:t>
      </w:r>
    </w:p>
    <w:p w:rsidR="00757A68" w:rsidRDefault="00757A68" w:rsidP="00757A68">
      <w:pPr>
        <w:rPr>
          <w:rFonts w:eastAsiaTheme="minorEastAsia"/>
          <w:b/>
          <w:i/>
          <w:lang w:eastAsia="zh-CN"/>
        </w:rPr>
      </w:pPr>
      <w:r>
        <w:rPr>
          <w:rFonts w:eastAsiaTheme="minorEastAsia"/>
          <w:b/>
          <w:i/>
          <w:lang w:eastAsia="zh-CN"/>
        </w:rPr>
        <w:lastRenderedPageBreak/>
        <w:t>Observation 2: The comparison between DDDSU and XXXXU shows that the setup of UL subband over DL symbols improves the UL latency and UL UPT obviously.</w:t>
      </w:r>
    </w:p>
    <w:p w:rsidR="003D7AEB" w:rsidRPr="00511826" w:rsidRDefault="00DE12D9">
      <w:pPr>
        <w:rPr>
          <w:rFonts w:eastAsiaTheme="minorEastAsia"/>
          <w:b/>
          <w:i/>
          <w:lang w:eastAsia="zh-CN"/>
        </w:rPr>
      </w:pPr>
      <w:r>
        <w:rPr>
          <w:rFonts w:eastAsiaTheme="minorEastAsia"/>
          <w:b/>
          <w:i/>
          <w:lang w:eastAsia="zh-CN"/>
        </w:rPr>
        <w:t xml:space="preserve">Observation 3: With the given traffic model (e.g., packet size, packet arrival time, etc), the comparison between DDDSU and XXXXX shows that the setup of gNB-perspective full-duplex in every slot while maintaining the universal D/U resource ratio similar to the legacy TDD does not either improve or degrade UL latency/UPT and DL latency/UPT very much. </w:t>
      </w:r>
    </w:p>
    <w:p w:rsidR="003D7AEB" w:rsidRDefault="000C2D9D">
      <w:pPr>
        <w:pStyle w:val="Heading1"/>
        <w:rPr>
          <w:lang w:eastAsia="zh-CN"/>
        </w:rPr>
      </w:pPr>
      <w:r>
        <w:rPr>
          <w:lang w:eastAsia="zh-CN"/>
        </w:rPr>
        <w:t>Reference</w:t>
      </w:r>
    </w:p>
    <w:p w:rsidR="003D7AEB" w:rsidRDefault="000C2D9D">
      <w:pPr>
        <w:numPr>
          <w:ilvl w:val="0"/>
          <w:numId w:val="10"/>
        </w:numPr>
        <w:spacing w:after="0"/>
        <w:jc w:val="both"/>
        <w:rPr>
          <w:color w:val="000000" w:themeColor="text1"/>
        </w:rPr>
      </w:pPr>
      <w:r>
        <w:t>RP-213591 New SI: Study on evolution of NR duplex operation</w:t>
      </w:r>
    </w:p>
    <w:p w:rsidR="003D7AEB" w:rsidRDefault="000C2D9D">
      <w:pPr>
        <w:numPr>
          <w:ilvl w:val="0"/>
          <w:numId w:val="10"/>
        </w:numPr>
        <w:spacing w:after="0"/>
        <w:jc w:val="both"/>
        <w:rPr>
          <w:color w:val="000000" w:themeColor="text1"/>
        </w:rPr>
      </w:pPr>
      <w:r>
        <w:rPr>
          <w:color w:val="000000" w:themeColor="text1"/>
        </w:rPr>
        <w:t>R1-2204021 Discussion on evaluation on NR duplex evolution</w:t>
      </w:r>
    </w:p>
    <w:p w:rsidR="003D7AEB" w:rsidRDefault="000C2D9D">
      <w:pPr>
        <w:numPr>
          <w:ilvl w:val="0"/>
          <w:numId w:val="10"/>
        </w:numPr>
        <w:spacing w:after="0"/>
        <w:jc w:val="both"/>
        <w:rPr>
          <w:color w:val="000000" w:themeColor="text1"/>
        </w:rPr>
      </w:pPr>
      <w:r>
        <w:rPr>
          <w:color w:val="000000" w:themeColor="text1"/>
        </w:rPr>
        <w:t>R1-2206321 Discussion on evaluation on NR duplex evolution</w:t>
      </w:r>
    </w:p>
    <w:p w:rsidR="003D7AEB" w:rsidRDefault="000C2D9D">
      <w:pPr>
        <w:pStyle w:val="Heading1"/>
        <w:rPr>
          <w:rFonts w:eastAsiaTheme="minorEastAsia"/>
          <w:lang w:eastAsia="zh-CN"/>
        </w:rPr>
      </w:pPr>
      <w:r>
        <w:rPr>
          <w:rFonts w:eastAsiaTheme="minorEastAsia"/>
          <w:lang w:eastAsia="zh-CN"/>
        </w:rPr>
        <w:t>Appendix</w:t>
      </w:r>
    </w:p>
    <w:p w:rsidR="003D7AEB" w:rsidRDefault="000C2D9D" w:rsidP="00511826">
      <w:pPr>
        <w:pStyle w:val="00Text"/>
        <w:spacing w:after="0"/>
        <w:jc w:val="center"/>
      </w:pPr>
      <w:r>
        <w:rPr>
          <w:rFonts w:hint="eastAsia"/>
        </w:rPr>
        <w:t>T</w:t>
      </w:r>
      <w:r>
        <w:t xml:space="preserve">able A-1 simulation parameters for </w:t>
      </w:r>
      <w:r>
        <w:rPr>
          <w:color w:val="000000"/>
          <w:szCs w:val="22"/>
        </w:rPr>
        <w:t>SBFD with InH</w:t>
      </w:r>
      <w:r>
        <w:t xml:space="preserve"> </w:t>
      </w:r>
    </w:p>
    <w:tbl>
      <w:tblPr>
        <w:tblStyle w:val="TableGrid"/>
        <w:tblW w:w="8800" w:type="dxa"/>
        <w:tblLook w:val="04A0"/>
      </w:tblPr>
      <w:tblGrid>
        <w:gridCol w:w="3340"/>
        <w:gridCol w:w="5460"/>
      </w:tblGrid>
      <w:tr w:rsidR="003D7AEB">
        <w:trPr>
          <w:trHeight w:val="288"/>
        </w:trPr>
        <w:tc>
          <w:tcPr>
            <w:tcW w:w="3340" w:type="dxa"/>
            <w:noWrap/>
          </w:tcPr>
          <w:p w:rsidR="003D7AEB" w:rsidRPr="00511826" w:rsidRDefault="000C2D9D">
            <w:pPr>
              <w:spacing w:before="60" w:after="60" w:line="240" w:lineRule="auto"/>
              <w:jc w:val="center"/>
              <w:rPr>
                <w:b/>
                <w:bCs/>
                <w:color w:val="000000"/>
                <w:szCs w:val="20"/>
                <w:lang w:eastAsia="zh-CN"/>
              </w:rPr>
            </w:pPr>
            <w:r w:rsidRPr="00511826">
              <w:rPr>
                <w:b/>
                <w:bCs/>
                <w:color w:val="000000"/>
                <w:szCs w:val="20"/>
                <w:lang w:eastAsia="zh-CN"/>
              </w:rPr>
              <w:t>Parameters</w:t>
            </w:r>
          </w:p>
        </w:tc>
        <w:tc>
          <w:tcPr>
            <w:tcW w:w="5460" w:type="dxa"/>
            <w:noWrap/>
          </w:tcPr>
          <w:p w:rsidR="003D7AEB" w:rsidRPr="00511826" w:rsidRDefault="000C2D9D">
            <w:pPr>
              <w:spacing w:before="60" w:after="60" w:line="240" w:lineRule="auto"/>
              <w:jc w:val="center"/>
              <w:rPr>
                <w:b/>
                <w:bCs/>
                <w:color w:val="000000"/>
                <w:szCs w:val="20"/>
                <w:lang w:eastAsia="zh-CN"/>
              </w:rPr>
            </w:pPr>
            <w:r w:rsidRPr="00511826">
              <w:rPr>
                <w:b/>
                <w:bCs/>
                <w:color w:val="000000"/>
                <w:szCs w:val="20"/>
                <w:lang w:eastAsia="zh-CN"/>
              </w:rPr>
              <w:t>Value</w:t>
            </w:r>
          </w:p>
        </w:tc>
      </w:tr>
      <w:tr w:rsidR="003D7AEB">
        <w:trPr>
          <w:trHeight w:val="576"/>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Scenario</w:t>
            </w:r>
          </w:p>
        </w:tc>
        <w:tc>
          <w:tcPr>
            <w:tcW w:w="5460" w:type="dxa"/>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InH(2*6 site)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Inter-BS distance</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20m</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Carrier frequency</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4GHz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Duplex Mode / Simulation bandwidth</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20MHz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SCS</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30KHz</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TDD pattern</w:t>
            </w:r>
          </w:p>
        </w:tc>
        <w:tc>
          <w:tcPr>
            <w:tcW w:w="5460" w:type="dxa"/>
            <w:noWrap/>
          </w:tcPr>
          <w:p w:rsidR="003D7AEB" w:rsidRPr="00511826" w:rsidRDefault="000C2D9D" w:rsidP="00722C0C">
            <w:pPr>
              <w:spacing w:before="60" w:after="60" w:line="240" w:lineRule="auto"/>
              <w:jc w:val="center"/>
              <w:rPr>
                <w:color w:val="000000"/>
                <w:szCs w:val="20"/>
                <w:lang w:eastAsia="zh-CN"/>
              </w:rPr>
            </w:pPr>
            <w:r w:rsidRPr="00511826">
              <w:rPr>
                <w:color w:val="000000"/>
                <w:szCs w:val="20"/>
                <w:lang w:eastAsia="zh-CN"/>
              </w:rPr>
              <w:t>DDDSU/XXXXU/XXXXX</w:t>
            </w:r>
          </w:p>
        </w:tc>
      </w:tr>
      <w:tr w:rsidR="003D7AEB">
        <w:trPr>
          <w:trHeight w:val="746"/>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BS Antenna Configuration</w:t>
            </w:r>
          </w:p>
        </w:tc>
        <w:tc>
          <w:tcPr>
            <w:tcW w:w="5460" w:type="dxa"/>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8 TxRU, (M, N, P, Mg, Ng; Mp, Np) = (2,2,2,1,1,2,2)</w:t>
            </w:r>
            <w:r w:rsidRPr="00511826">
              <w:rPr>
                <w:color w:val="000000"/>
                <w:szCs w:val="20"/>
                <w:lang w:eastAsia="zh-CN"/>
              </w:rPr>
              <w:br/>
              <w:t xml:space="preserve"> (dH, dV) = (0.5λ, 0.5λ)</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UE Antenna Configuration</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2R, (M, N, P, Mg, Ng; Mp, Np) = (1,1,1,1,1;1,1), (dH, dV) = (0.5, N/A)λ</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Transmit Power</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51dBm</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Antenna Height</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 m for BS and 1.5 m for UE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Receiver Noise Figure</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5 dB for BS and 9 dB for UE</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UE speed</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3km/h</w:t>
            </w:r>
          </w:p>
        </w:tc>
      </w:tr>
      <w:tr w:rsidR="003D7AEB">
        <w:trPr>
          <w:trHeight w:val="288"/>
        </w:trPr>
        <w:tc>
          <w:tcPr>
            <w:tcW w:w="334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Scheduling Algorithm</w:t>
            </w:r>
          </w:p>
        </w:tc>
        <w:tc>
          <w:tcPr>
            <w:tcW w:w="5460" w:type="dxa"/>
            <w:noWrap/>
          </w:tcPr>
          <w:p w:rsidR="003D7AEB" w:rsidRPr="00511826" w:rsidRDefault="000C2D9D">
            <w:pPr>
              <w:spacing w:before="60" w:after="60" w:line="240" w:lineRule="auto"/>
              <w:jc w:val="center"/>
              <w:rPr>
                <w:color w:val="000000"/>
                <w:szCs w:val="20"/>
                <w:lang w:eastAsia="zh-CN"/>
              </w:rPr>
            </w:pPr>
            <w:r w:rsidRPr="00511826">
              <w:rPr>
                <w:color w:val="000000"/>
                <w:szCs w:val="20"/>
                <w:lang w:eastAsia="zh-CN"/>
              </w:rPr>
              <w:t>SU-MIMO+PF</w:t>
            </w:r>
          </w:p>
        </w:tc>
      </w:tr>
      <w:tr w:rsidR="003D7AEB">
        <w:trPr>
          <w:trHeight w:val="288"/>
        </w:trPr>
        <w:tc>
          <w:tcPr>
            <w:tcW w:w="3340" w:type="dxa"/>
            <w:noWrap/>
          </w:tcPr>
          <w:p w:rsidR="003D7AEB" w:rsidRPr="00511826" w:rsidRDefault="000C2D9D">
            <w:pPr>
              <w:spacing w:before="60" w:after="60" w:line="240" w:lineRule="auto"/>
              <w:jc w:val="center"/>
              <w:rPr>
                <w:rFonts w:eastAsiaTheme="minorEastAsia"/>
                <w:color w:val="000000"/>
                <w:szCs w:val="20"/>
                <w:lang w:eastAsia="zh-CN"/>
              </w:rPr>
            </w:pPr>
            <w:r w:rsidRPr="00511826">
              <w:rPr>
                <w:rFonts w:eastAsiaTheme="minorEastAsia"/>
                <w:color w:val="000000"/>
                <w:szCs w:val="20"/>
                <w:lang w:eastAsia="zh-CN"/>
              </w:rPr>
              <w:t>Power control for PUSCH</w:t>
            </w:r>
          </w:p>
        </w:tc>
        <w:tc>
          <w:tcPr>
            <w:tcW w:w="5460" w:type="dxa"/>
            <w:noWrap/>
          </w:tcPr>
          <w:p w:rsidR="003D7AEB" w:rsidRPr="00511826" w:rsidRDefault="000C2D9D">
            <w:pPr>
              <w:spacing w:before="60" w:after="60" w:line="240" w:lineRule="auto"/>
              <w:jc w:val="center"/>
              <w:rPr>
                <w:rFonts w:eastAsiaTheme="minorEastAsia"/>
                <w:color w:val="000000"/>
                <w:szCs w:val="20"/>
                <w:lang w:eastAsia="zh-CN"/>
              </w:rPr>
            </w:pPr>
            <w:r w:rsidRPr="00511826">
              <w:rPr>
                <w:rFonts w:eastAsiaTheme="minorEastAsia" w:hint="eastAsia"/>
                <w:color w:val="000000"/>
                <w:szCs w:val="20"/>
                <w:lang w:eastAsia="zh-CN"/>
              </w:rPr>
              <w:t>P</w:t>
            </w:r>
            <w:r w:rsidRPr="00511826">
              <w:rPr>
                <w:rFonts w:eastAsiaTheme="minorEastAsia"/>
                <w:color w:val="000000"/>
                <w:szCs w:val="20"/>
                <w:lang w:eastAsia="zh-CN"/>
              </w:rPr>
              <w:t>0=-60dbm, alpha=0.6</w:t>
            </w:r>
          </w:p>
        </w:tc>
      </w:tr>
    </w:tbl>
    <w:p w:rsidR="003D7AEB" w:rsidRDefault="003D7AEB">
      <w:pPr>
        <w:pStyle w:val="Heading1"/>
        <w:numPr>
          <w:ilvl w:val="0"/>
          <w:numId w:val="0"/>
        </w:numPr>
        <w:rPr>
          <w:color w:val="000000" w:themeColor="text1"/>
        </w:rPr>
      </w:pPr>
    </w:p>
    <w:sectPr w:rsidR="003D7AEB" w:rsidSect="003D7AEB">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389" w:rsidRDefault="00552389">
      <w:pPr>
        <w:spacing w:line="240" w:lineRule="auto"/>
      </w:pPr>
      <w:r>
        <w:separator/>
      </w:r>
    </w:p>
  </w:endnote>
  <w:endnote w:type="continuationSeparator" w:id="0">
    <w:p w:rsidR="00552389" w:rsidRDefault="005523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13751"/>
      <w:docPartObj>
        <w:docPartGallery w:val="AutoText"/>
      </w:docPartObj>
    </w:sdtPr>
    <w:sdtContent>
      <w:p w:rsidR="00552389" w:rsidRDefault="003D607A">
        <w:pPr>
          <w:pStyle w:val="Footer"/>
          <w:jc w:val="center"/>
        </w:pPr>
        <w:fldSimple w:instr=" PAGE   \* MERGEFORMAT ">
          <w:r w:rsidR="00E83FCD">
            <w:rPr>
              <w:noProof/>
            </w:rPr>
            <w:t>6</w:t>
          </w:r>
        </w:fldSimple>
      </w:p>
    </w:sdtContent>
  </w:sdt>
  <w:p w:rsidR="00552389" w:rsidRDefault="005523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389" w:rsidRDefault="00552389">
      <w:pPr>
        <w:spacing w:after="0"/>
      </w:pPr>
      <w:r>
        <w:separator/>
      </w:r>
    </w:p>
  </w:footnote>
  <w:footnote w:type="continuationSeparator" w:id="0">
    <w:p w:rsidR="00552389" w:rsidRDefault="0055238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D3F44"/>
    <w:multiLevelType w:val="multilevel"/>
    <w:tmpl w:val="245D3F44"/>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24AF0755"/>
    <w:multiLevelType w:val="multilevel"/>
    <w:tmpl w:val="24AF07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2AA07955"/>
    <w:multiLevelType w:val="multilevel"/>
    <w:tmpl w:val="2AA07955"/>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
    <w:nsid w:val="3D912AFC"/>
    <w:multiLevelType w:val="multilevel"/>
    <w:tmpl w:val="3D912AF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C194880"/>
    <w:multiLevelType w:val="multilevel"/>
    <w:tmpl w:val="6C1948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9">
    <w:nsid w:val="753673E2"/>
    <w:multiLevelType w:val="multilevel"/>
    <w:tmpl w:val="7536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8"/>
  </w:num>
  <w:num w:numId="4">
    <w:abstractNumId w:val="9"/>
  </w:num>
  <w:num w:numId="5">
    <w:abstractNumId w:val="7"/>
  </w:num>
  <w:num w:numId="6">
    <w:abstractNumId w:val="3"/>
  </w:num>
  <w:num w:numId="7">
    <w:abstractNumId w:val="0"/>
  </w:num>
  <w:num w:numId="8">
    <w:abstractNumId w:val="1"/>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B8F"/>
    <w:rsid w:val="FEDD7AA3"/>
    <w:rsid w:val="00000A76"/>
    <w:rsid w:val="00006B78"/>
    <w:rsid w:val="00006F09"/>
    <w:rsid w:val="00013118"/>
    <w:rsid w:val="00013297"/>
    <w:rsid w:val="00016D3F"/>
    <w:rsid w:val="0001790B"/>
    <w:rsid w:val="00021987"/>
    <w:rsid w:val="0003093F"/>
    <w:rsid w:val="000319D3"/>
    <w:rsid w:val="000336C0"/>
    <w:rsid w:val="000405AC"/>
    <w:rsid w:val="0004100C"/>
    <w:rsid w:val="0005037E"/>
    <w:rsid w:val="00050A2D"/>
    <w:rsid w:val="000523E4"/>
    <w:rsid w:val="00057FB4"/>
    <w:rsid w:val="000645CB"/>
    <w:rsid w:val="00074C14"/>
    <w:rsid w:val="00084208"/>
    <w:rsid w:val="00087415"/>
    <w:rsid w:val="00090D91"/>
    <w:rsid w:val="00095299"/>
    <w:rsid w:val="000A339C"/>
    <w:rsid w:val="000A4992"/>
    <w:rsid w:val="000A68B4"/>
    <w:rsid w:val="000B0226"/>
    <w:rsid w:val="000B4669"/>
    <w:rsid w:val="000B4B1E"/>
    <w:rsid w:val="000B6572"/>
    <w:rsid w:val="000C2D9D"/>
    <w:rsid w:val="000C33A4"/>
    <w:rsid w:val="000D0F36"/>
    <w:rsid w:val="000D2C46"/>
    <w:rsid w:val="000D75CB"/>
    <w:rsid w:val="000E60E6"/>
    <w:rsid w:val="001007A0"/>
    <w:rsid w:val="001008A6"/>
    <w:rsid w:val="00104A27"/>
    <w:rsid w:val="00116517"/>
    <w:rsid w:val="001219C0"/>
    <w:rsid w:val="00127E1D"/>
    <w:rsid w:val="00134FE6"/>
    <w:rsid w:val="0013501B"/>
    <w:rsid w:val="00136529"/>
    <w:rsid w:val="00141273"/>
    <w:rsid w:val="00144254"/>
    <w:rsid w:val="00146747"/>
    <w:rsid w:val="0015306E"/>
    <w:rsid w:val="0015606F"/>
    <w:rsid w:val="001632C5"/>
    <w:rsid w:val="00173728"/>
    <w:rsid w:val="00175F89"/>
    <w:rsid w:val="001769D1"/>
    <w:rsid w:val="00177A76"/>
    <w:rsid w:val="00181819"/>
    <w:rsid w:val="0018182B"/>
    <w:rsid w:val="00184332"/>
    <w:rsid w:val="00184FDB"/>
    <w:rsid w:val="001856D6"/>
    <w:rsid w:val="00186DCE"/>
    <w:rsid w:val="00191E39"/>
    <w:rsid w:val="00195922"/>
    <w:rsid w:val="001968FD"/>
    <w:rsid w:val="001A2843"/>
    <w:rsid w:val="001A4D22"/>
    <w:rsid w:val="001A7EF0"/>
    <w:rsid w:val="001B073E"/>
    <w:rsid w:val="001B23DF"/>
    <w:rsid w:val="001B2C3C"/>
    <w:rsid w:val="001B3988"/>
    <w:rsid w:val="001B66FB"/>
    <w:rsid w:val="001C4DF7"/>
    <w:rsid w:val="001D1374"/>
    <w:rsid w:val="001D7582"/>
    <w:rsid w:val="001E6C2C"/>
    <w:rsid w:val="001F04BB"/>
    <w:rsid w:val="001F3361"/>
    <w:rsid w:val="001F5B8D"/>
    <w:rsid w:val="001F63B6"/>
    <w:rsid w:val="001F7DB0"/>
    <w:rsid w:val="002051B0"/>
    <w:rsid w:val="00206225"/>
    <w:rsid w:val="002233FA"/>
    <w:rsid w:val="0023483D"/>
    <w:rsid w:val="00234C6C"/>
    <w:rsid w:val="002400B6"/>
    <w:rsid w:val="00243326"/>
    <w:rsid w:val="002461A0"/>
    <w:rsid w:val="002528C1"/>
    <w:rsid w:val="00254DC0"/>
    <w:rsid w:val="00254E42"/>
    <w:rsid w:val="00255DC7"/>
    <w:rsid w:val="00255E95"/>
    <w:rsid w:val="00266BE2"/>
    <w:rsid w:val="0026704C"/>
    <w:rsid w:val="0027029A"/>
    <w:rsid w:val="0027360E"/>
    <w:rsid w:val="00281143"/>
    <w:rsid w:val="00282FC7"/>
    <w:rsid w:val="002B163A"/>
    <w:rsid w:val="002B1E32"/>
    <w:rsid w:val="002B5A98"/>
    <w:rsid w:val="002B7388"/>
    <w:rsid w:val="002C1A95"/>
    <w:rsid w:val="002C1BE1"/>
    <w:rsid w:val="002D12E9"/>
    <w:rsid w:val="002D1605"/>
    <w:rsid w:val="002D3E09"/>
    <w:rsid w:val="002D4C43"/>
    <w:rsid w:val="002D4CA9"/>
    <w:rsid w:val="002D62BA"/>
    <w:rsid w:val="002D6A8D"/>
    <w:rsid w:val="002E6712"/>
    <w:rsid w:val="002F2DD3"/>
    <w:rsid w:val="002F37AD"/>
    <w:rsid w:val="002F4D49"/>
    <w:rsid w:val="002F5FB2"/>
    <w:rsid w:val="00301BD1"/>
    <w:rsid w:val="003022D1"/>
    <w:rsid w:val="00303E28"/>
    <w:rsid w:val="00310A5D"/>
    <w:rsid w:val="00320E0B"/>
    <w:rsid w:val="003229C1"/>
    <w:rsid w:val="00324FAB"/>
    <w:rsid w:val="00331C42"/>
    <w:rsid w:val="00341EC3"/>
    <w:rsid w:val="0034431C"/>
    <w:rsid w:val="003475DE"/>
    <w:rsid w:val="00354194"/>
    <w:rsid w:val="00354F25"/>
    <w:rsid w:val="00355C49"/>
    <w:rsid w:val="00356532"/>
    <w:rsid w:val="003614C6"/>
    <w:rsid w:val="003626EA"/>
    <w:rsid w:val="0036798C"/>
    <w:rsid w:val="00371F0C"/>
    <w:rsid w:val="00374FAA"/>
    <w:rsid w:val="00375D90"/>
    <w:rsid w:val="003771F9"/>
    <w:rsid w:val="00377597"/>
    <w:rsid w:val="0038625F"/>
    <w:rsid w:val="00391B34"/>
    <w:rsid w:val="00393BDE"/>
    <w:rsid w:val="00397617"/>
    <w:rsid w:val="003A0AA3"/>
    <w:rsid w:val="003A44CB"/>
    <w:rsid w:val="003B2C48"/>
    <w:rsid w:val="003B3442"/>
    <w:rsid w:val="003B5ADF"/>
    <w:rsid w:val="003B66A8"/>
    <w:rsid w:val="003C0A73"/>
    <w:rsid w:val="003D326B"/>
    <w:rsid w:val="003D607A"/>
    <w:rsid w:val="003D7AEB"/>
    <w:rsid w:val="003E76C2"/>
    <w:rsid w:val="003F024F"/>
    <w:rsid w:val="003F09B3"/>
    <w:rsid w:val="003F1AD9"/>
    <w:rsid w:val="003F5742"/>
    <w:rsid w:val="003F7684"/>
    <w:rsid w:val="00400A5F"/>
    <w:rsid w:val="00401E96"/>
    <w:rsid w:val="004059D1"/>
    <w:rsid w:val="0040608B"/>
    <w:rsid w:val="004073E3"/>
    <w:rsid w:val="00412DB7"/>
    <w:rsid w:val="00421520"/>
    <w:rsid w:val="0042326C"/>
    <w:rsid w:val="00425915"/>
    <w:rsid w:val="004274B4"/>
    <w:rsid w:val="004312C4"/>
    <w:rsid w:val="004358C1"/>
    <w:rsid w:val="0043658B"/>
    <w:rsid w:val="00436A9B"/>
    <w:rsid w:val="0043732B"/>
    <w:rsid w:val="0044049F"/>
    <w:rsid w:val="004413CD"/>
    <w:rsid w:val="004416BB"/>
    <w:rsid w:val="00443A24"/>
    <w:rsid w:val="00443AD7"/>
    <w:rsid w:val="00445DF8"/>
    <w:rsid w:val="004509A6"/>
    <w:rsid w:val="00454837"/>
    <w:rsid w:val="0045529C"/>
    <w:rsid w:val="00457CDF"/>
    <w:rsid w:val="00460D97"/>
    <w:rsid w:val="00463790"/>
    <w:rsid w:val="00465845"/>
    <w:rsid w:val="00471A22"/>
    <w:rsid w:val="004733B1"/>
    <w:rsid w:val="004769CB"/>
    <w:rsid w:val="00481FC5"/>
    <w:rsid w:val="00483461"/>
    <w:rsid w:val="0048433D"/>
    <w:rsid w:val="00485AB4"/>
    <w:rsid w:val="004972B3"/>
    <w:rsid w:val="004A13A4"/>
    <w:rsid w:val="004A26BD"/>
    <w:rsid w:val="004B0793"/>
    <w:rsid w:val="004B07BF"/>
    <w:rsid w:val="004C0C5A"/>
    <w:rsid w:val="004D424C"/>
    <w:rsid w:val="004D663C"/>
    <w:rsid w:val="004F1795"/>
    <w:rsid w:val="00505137"/>
    <w:rsid w:val="00511826"/>
    <w:rsid w:val="00514A60"/>
    <w:rsid w:val="0051576B"/>
    <w:rsid w:val="00517DC4"/>
    <w:rsid w:val="00526087"/>
    <w:rsid w:val="005273E5"/>
    <w:rsid w:val="005278B7"/>
    <w:rsid w:val="00530840"/>
    <w:rsid w:val="00534606"/>
    <w:rsid w:val="00534D51"/>
    <w:rsid w:val="005436BF"/>
    <w:rsid w:val="00545729"/>
    <w:rsid w:val="00545E5C"/>
    <w:rsid w:val="005518C1"/>
    <w:rsid w:val="00551FE6"/>
    <w:rsid w:val="00552389"/>
    <w:rsid w:val="00557096"/>
    <w:rsid w:val="00564A9B"/>
    <w:rsid w:val="005667DB"/>
    <w:rsid w:val="00566B48"/>
    <w:rsid w:val="00584430"/>
    <w:rsid w:val="00590553"/>
    <w:rsid w:val="00590899"/>
    <w:rsid w:val="00592B35"/>
    <w:rsid w:val="0059430F"/>
    <w:rsid w:val="0059578E"/>
    <w:rsid w:val="005A2EA3"/>
    <w:rsid w:val="005A4984"/>
    <w:rsid w:val="005A7E6F"/>
    <w:rsid w:val="005B1455"/>
    <w:rsid w:val="005B1DE4"/>
    <w:rsid w:val="005B38D4"/>
    <w:rsid w:val="005B462C"/>
    <w:rsid w:val="005C01AF"/>
    <w:rsid w:val="005C5216"/>
    <w:rsid w:val="005C6823"/>
    <w:rsid w:val="005D0093"/>
    <w:rsid w:val="005D1AD9"/>
    <w:rsid w:val="005E60E4"/>
    <w:rsid w:val="005F248D"/>
    <w:rsid w:val="005F547C"/>
    <w:rsid w:val="005F5B84"/>
    <w:rsid w:val="00600444"/>
    <w:rsid w:val="00610C3D"/>
    <w:rsid w:val="00617C09"/>
    <w:rsid w:val="00621CBE"/>
    <w:rsid w:val="006256F8"/>
    <w:rsid w:val="00626993"/>
    <w:rsid w:val="00626DA7"/>
    <w:rsid w:val="00630946"/>
    <w:rsid w:val="00632EC8"/>
    <w:rsid w:val="00641D18"/>
    <w:rsid w:val="00643D25"/>
    <w:rsid w:val="00644331"/>
    <w:rsid w:val="00656AD8"/>
    <w:rsid w:val="00660656"/>
    <w:rsid w:val="006728CC"/>
    <w:rsid w:val="006778CD"/>
    <w:rsid w:val="00684808"/>
    <w:rsid w:val="00684AF5"/>
    <w:rsid w:val="00686832"/>
    <w:rsid w:val="00687CCD"/>
    <w:rsid w:val="00690153"/>
    <w:rsid w:val="00692589"/>
    <w:rsid w:val="00693BC6"/>
    <w:rsid w:val="006A3459"/>
    <w:rsid w:val="006A3D33"/>
    <w:rsid w:val="006A45A5"/>
    <w:rsid w:val="006B00BE"/>
    <w:rsid w:val="006B2C37"/>
    <w:rsid w:val="006B312B"/>
    <w:rsid w:val="006B4521"/>
    <w:rsid w:val="006C498F"/>
    <w:rsid w:val="006C590B"/>
    <w:rsid w:val="006C6222"/>
    <w:rsid w:val="006D3B7D"/>
    <w:rsid w:val="006E05F9"/>
    <w:rsid w:val="006E53B9"/>
    <w:rsid w:val="006E7C44"/>
    <w:rsid w:val="006F05DD"/>
    <w:rsid w:val="006F20E0"/>
    <w:rsid w:val="006F6EAD"/>
    <w:rsid w:val="006F6F08"/>
    <w:rsid w:val="00701684"/>
    <w:rsid w:val="00702197"/>
    <w:rsid w:val="00722518"/>
    <w:rsid w:val="00722C0C"/>
    <w:rsid w:val="007405C9"/>
    <w:rsid w:val="00744F37"/>
    <w:rsid w:val="00745102"/>
    <w:rsid w:val="007473BB"/>
    <w:rsid w:val="00750F9A"/>
    <w:rsid w:val="00754739"/>
    <w:rsid w:val="00755608"/>
    <w:rsid w:val="007572D7"/>
    <w:rsid w:val="00757A68"/>
    <w:rsid w:val="00760DFC"/>
    <w:rsid w:val="007629B6"/>
    <w:rsid w:val="007671CA"/>
    <w:rsid w:val="007710B0"/>
    <w:rsid w:val="007743E7"/>
    <w:rsid w:val="00776546"/>
    <w:rsid w:val="00776CDE"/>
    <w:rsid w:val="0078554C"/>
    <w:rsid w:val="007918BC"/>
    <w:rsid w:val="00793286"/>
    <w:rsid w:val="00795A58"/>
    <w:rsid w:val="00796F82"/>
    <w:rsid w:val="007A26F4"/>
    <w:rsid w:val="007A2FB8"/>
    <w:rsid w:val="007A4312"/>
    <w:rsid w:val="007A4541"/>
    <w:rsid w:val="007B12AE"/>
    <w:rsid w:val="007B55A0"/>
    <w:rsid w:val="007B5D6F"/>
    <w:rsid w:val="007B621E"/>
    <w:rsid w:val="007C03BD"/>
    <w:rsid w:val="007C1740"/>
    <w:rsid w:val="007D07E0"/>
    <w:rsid w:val="007D2352"/>
    <w:rsid w:val="007D2E95"/>
    <w:rsid w:val="007D6E4D"/>
    <w:rsid w:val="007E273E"/>
    <w:rsid w:val="007E37D0"/>
    <w:rsid w:val="007F46E6"/>
    <w:rsid w:val="007F5694"/>
    <w:rsid w:val="00800D55"/>
    <w:rsid w:val="00801660"/>
    <w:rsid w:val="00801D55"/>
    <w:rsid w:val="00803247"/>
    <w:rsid w:val="00805428"/>
    <w:rsid w:val="0080657F"/>
    <w:rsid w:val="00812D9E"/>
    <w:rsid w:val="0081342B"/>
    <w:rsid w:val="00814666"/>
    <w:rsid w:val="008147FC"/>
    <w:rsid w:val="00816F12"/>
    <w:rsid w:val="00817DAF"/>
    <w:rsid w:val="00822BFF"/>
    <w:rsid w:val="00824DD8"/>
    <w:rsid w:val="0083376F"/>
    <w:rsid w:val="0083539F"/>
    <w:rsid w:val="00835732"/>
    <w:rsid w:val="00835DA1"/>
    <w:rsid w:val="00842365"/>
    <w:rsid w:val="008501E5"/>
    <w:rsid w:val="008516C6"/>
    <w:rsid w:val="00851A86"/>
    <w:rsid w:val="008523C9"/>
    <w:rsid w:val="00855972"/>
    <w:rsid w:val="0085629D"/>
    <w:rsid w:val="00856AFF"/>
    <w:rsid w:val="00865498"/>
    <w:rsid w:val="00874891"/>
    <w:rsid w:val="00874A66"/>
    <w:rsid w:val="00875397"/>
    <w:rsid w:val="00884803"/>
    <w:rsid w:val="0088569E"/>
    <w:rsid w:val="00887936"/>
    <w:rsid w:val="00890ABD"/>
    <w:rsid w:val="008958FE"/>
    <w:rsid w:val="00897385"/>
    <w:rsid w:val="008A458B"/>
    <w:rsid w:val="008A5F4E"/>
    <w:rsid w:val="008B04A2"/>
    <w:rsid w:val="008B14E3"/>
    <w:rsid w:val="008C2D35"/>
    <w:rsid w:val="008C5E32"/>
    <w:rsid w:val="008D0127"/>
    <w:rsid w:val="008D48A7"/>
    <w:rsid w:val="008E3BDA"/>
    <w:rsid w:val="008E78AF"/>
    <w:rsid w:val="008F46F2"/>
    <w:rsid w:val="008F58A0"/>
    <w:rsid w:val="008F65BC"/>
    <w:rsid w:val="009004E3"/>
    <w:rsid w:val="009006F8"/>
    <w:rsid w:val="00912074"/>
    <w:rsid w:val="00920C8B"/>
    <w:rsid w:val="00923A20"/>
    <w:rsid w:val="0092415B"/>
    <w:rsid w:val="00941E37"/>
    <w:rsid w:val="00942AF0"/>
    <w:rsid w:val="00944DA4"/>
    <w:rsid w:val="00947DD3"/>
    <w:rsid w:val="00951256"/>
    <w:rsid w:val="00954C70"/>
    <w:rsid w:val="009575CF"/>
    <w:rsid w:val="0096008C"/>
    <w:rsid w:val="009617C1"/>
    <w:rsid w:val="009634C3"/>
    <w:rsid w:val="00967F46"/>
    <w:rsid w:val="00982AD6"/>
    <w:rsid w:val="00983B6A"/>
    <w:rsid w:val="0098661F"/>
    <w:rsid w:val="00991F25"/>
    <w:rsid w:val="0099740A"/>
    <w:rsid w:val="00997A6B"/>
    <w:rsid w:val="009A01E4"/>
    <w:rsid w:val="009A2A42"/>
    <w:rsid w:val="009A2AD3"/>
    <w:rsid w:val="009A32F1"/>
    <w:rsid w:val="009A3E0C"/>
    <w:rsid w:val="009A4969"/>
    <w:rsid w:val="009A7F56"/>
    <w:rsid w:val="009B0EBF"/>
    <w:rsid w:val="009B4C81"/>
    <w:rsid w:val="009B6E57"/>
    <w:rsid w:val="009C6FC3"/>
    <w:rsid w:val="009D04FA"/>
    <w:rsid w:val="009D409A"/>
    <w:rsid w:val="009D435C"/>
    <w:rsid w:val="009D4418"/>
    <w:rsid w:val="009D51CE"/>
    <w:rsid w:val="009E3959"/>
    <w:rsid w:val="009E67DD"/>
    <w:rsid w:val="009F1588"/>
    <w:rsid w:val="009F1E89"/>
    <w:rsid w:val="009F27DD"/>
    <w:rsid w:val="009F31B2"/>
    <w:rsid w:val="00A02002"/>
    <w:rsid w:val="00A02C0D"/>
    <w:rsid w:val="00A1066C"/>
    <w:rsid w:val="00A33E1D"/>
    <w:rsid w:val="00A40BA8"/>
    <w:rsid w:val="00A41AB4"/>
    <w:rsid w:val="00A44314"/>
    <w:rsid w:val="00A45443"/>
    <w:rsid w:val="00A472B9"/>
    <w:rsid w:val="00A501EE"/>
    <w:rsid w:val="00A50E6C"/>
    <w:rsid w:val="00A5267E"/>
    <w:rsid w:val="00A52E9B"/>
    <w:rsid w:val="00A61986"/>
    <w:rsid w:val="00A6370F"/>
    <w:rsid w:val="00A670BD"/>
    <w:rsid w:val="00A7074A"/>
    <w:rsid w:val="00A760DD"/>
    <w:rsid w:val="00A82D6D"/>
    <w:rsid w:val="00A84571"/>
    <w:rsid w:val="00A907B4"/>
    <w:rsid w:val="00AA250F"/>
    <w:rsid w:val="00AA4A80"/>
    <w:rsid w:val="00AB0DE0"/>
    <w:rsid w:val="00AC2679"/>
    <w:rsid w:val="00AC3A5B"/>
    <w:rsid w:val="00AC401A"/>
    <w:rsid w:val="00AC5B25"/>
    <w:rsid w:val="00AC6D3D"/>
    <w:rsid w:val="00AD020B"/>
    <w:rsid w:val="00AD140C"/>
    <w:rsid w:val="00AD15BC"/>
    <w:rsid w:val="00AD4083"/>
    <w:rsid w:val="00AE777C"/>
    <w:rsid w:val="00B06635"/>
    <w:rsid w:val="00B07411"/>
    <w:rsid w:val="00B14007"/>
    <w:rsid w:val="00B1737B"/>
    <w:rsid w:val="00B21AE3"/>
    <w:rsid w:val="00B267E7"/>
    <w:rsid w:val="00B30AC7"/>
    <w:rsid w:val="00B34B54"/>
    <w:rsid w:val="00B35312"/>
    <w:rsid w:val="00B36D26"/>
    <w:rsid w:val="00B44A0F"/>
    <w:rsid w:val="00B4536E"/>
    <w:rsid w:val="00B453FD"/>
    <w:rsid w:val="00B55C4E"/>
    <w:rsid w:val="00B61693"/>
    <w:rsid w:val="00B679F5"/>
    <w:rsid w:val="00B7031E"/>
    <w:rsid w:val="00B71AFA"/>
    <w:rsid w:val="00B75805"/>
    <w:rsid w:val="00B80620"/>
    <w:rsid w:val="00B8646F"/>
    <w:rsid w:val="00B86DA8"/>
    <w:rsid w:val="00B91388"/>
    <w:rsid w:val="00B91C3D"/>
    <w:rsid w:val="00B937D7"/>
    <w:rsid w:val="00BA105C"/>
    <w:rsid w:val="00BA21EF"/>
    <w:rsid w:val="00BA33D7"/>
    <w:rsid w:val="00BA365F"/>
    <w:rsid w:val="00BB4996"/>
    <w:rsid w:val="00BB58E5"/>
    <w:rsid w:val="00BC54AE"/>
    <w:rsid w:val="00BC78C4"/>
    <w:rsid w:val="00BD14B4"/>
    <w:rsid w:val="00BD246E"/>
    <w:rsid w:val="00BD737A"/>
    <w:rsid w:val="00BE43F3"/>
    <w:rsid w:val="00BE44EF"/>
    <w:rsid w:val="00BE62FC"/>
    <w:rsid w:val="00BF32C7"/>
    <w:rsid w:val="00BF3669"/>
    <w:rsid w:val="00C014C0"/>
    <w:rsid w:val="00C11F39"/>
    <w:rsid w:val="00C14592"/>
    <w:rsid w:val="00C16F2E"/>
    <w:rsid w:val="00C319D0"/>
    <w:rsid w:val="00C3225B"/>
    <w:rsid w:val="00C3332F"/>
    <w:rsid w:val="00C421E9"/>
    <w:rsid w:val="00C5696A"/>
    <w:rsid w:val="00C578A6"/>
    <w:rsid w:val="00C7054F"/>
    <w:rsid w:val="00C7092B"/>
    <w:rsid w:val="00C75E6D"/>
    <w:rsid w:val="00C776B8"/>
    <w:rsid w:val="00C8063B"/>
    <w:rsid w:val="00C845FC"/>
    <w:rsid w:val="00C8655F"/>
    <w:rsid w:val="00C90DAC"/>
    <w:rsid w:val="00C9161D"/>
    <w:rsid w:val="00C927EB"/>
    <w:rsid w:val="00C94232"/>
    <w:rsid w:val="00CA06C5"/>
    <w:rsid w:val="00CA092A"/>
    <w:rsid w:val="00CA0969"/>
    <w:rsid w:val="00CA64F2"/>
    <w:rsid w:val="00CB1B7E"/>
    <w:rsid w:val="00CB39E1"/>
    <w:rsid w:val="00CB429B"/>
    <w:rsid w:val="00CB4998"/>
    <w:rsid w:val="00CB5401"/>
    <w:rsid w:val="00CB672C"/>
    <w:rsid w:val="00CB7E20"/>
    <w:rsid w:val="00CC2674"/>
    <w:rsid w:val="00CC64EA"/>
    <w:rsid w:val="00CD0F29"/>
    <w:rsid w:val="00CD6F04"/>
    <w:rsid w:val="00CD6F25"/>
    <w:rsid w:val="00CE0F45"/>
    <w:rsid w:val="00CE3405"/>
    <w:rsid w:val="00CF5910"/>
    <w:rsid w:val="00CF5A42"/>
    <w:rsid w:val="00CF622C"/>
    <w:rsid w:val="00CF74E8"/>
    <w:rsid w:val="00D01184"/>
    <w:rsid w:val="00D017D2"/>
    <w:rsid w:val="00D05224"/>
    <w:rsid w:val="00D0535C"/>
    <w:rsid w:val="00D12358"/>
    <w:rsid w:val="00D13B8F"/>
    <w:rsid w:val="00D14055"/>
    <w:rsid w:val="00D20369"/>
    <w:rsid w:val="00D275DF"/>
    <w:rsid w:val="00D3125B"/>
    <w:rsid w:val="00D35BB3"/>
    <w:rsid w:val="00D36682"/>
    <w:rsid w:val="00D3787A"/>
    <w:rsid w:val="00D40CD2"/>
    <w:rsid w:val="00D41456"/>
    <w:rsid w:val="00D4293A"/>
    <w:rsid w:val="00D42E58"/>
    <w:rsid w:val="00D46B0A"/>
    <w:rsid w:val="00D517F2"/>
    <w:rsid w:val="00D52588"/>
    <w:rsid w:val="00D66C60"/>
    <w:rsid w:val="00D764A7"/>
    <w:rsid w:val="00D8264A"/>
    <w:rsid w:val="00D8758F"/>
    <w:rsid w:val="00D87CC1"/>
    <w:rsid w:val="00D96F71"/>
    <w:rsid w:val="00DA06F5"/>
    <w:rsid w:val="00DA1F70"/>
    <w:rsid w:val="00DA2D2B"/>
    <w:rsid w:val="00DB245F"/>
    <w:rsid w:val="00DB52F3"/>
    <w:rsid w:val="00DB6660"/>
    <w:rsid w:val="00DB6C23"/>
    <w:rsid w:val="00DC20C4"/>
    <w:rsid w:val="00DC6D16"/>
    <w:rsid w:val="00DD36C2"/>
    <w:rsid w:val="00DE0CCF"/>
    <w:rsid w:val="00DE12D9"/>
    <w:rsid w:val="00DF09A1"/>
    <w:rsid w:val="00DF1121"/>
    <w:rsid w:val="00DF3101"/>
    <w:rsid w:val="00E019DD"/>
    <w:rsid w:val="00E01FE2"/>
    <w:rsid w:val="00E06726"/>
    <w:rsid w:val="00E13E34"/>
    <w:rsid w:val="00E13E6F"/>
    <w:rsid w:val="00E15FD3"/>
    <w:rsid w:val="00E17510"/>
    <w:rsid w:val="00E2063E"/>
    <w:rsid w:val="00E30AFA"/>
    <w:rsid w:val="00E33AC1"/>
    <w:rsid w:val="00E33BDF"/>
    <w:rsid w:val="00E37D98"/>
    <w:rsid w:val="00E40468"/>
    <w:rsid w:val="00E40CD7"/>
    <w:rsid w:val="00E4203C"/>
    <w:rsid w:val="00E420FC"/>
    <w:rsid w:val="00E4340E"/>
    <w:rsid w:val="00E44562"/>
    <w:rsid w:val="00E44B5B"/>
    <w:rsid w:val="00E53FB8"/>
    <w:rsid w:val="00E64F4C"/>
    <w:rsid w:val="00E71561"/>
    <w:rsid w:val="00E7614C"/>
    <w:rsid w:val="00E812C2"/>
    <w:rsid w:val="00E83FCD"/>
    <w:rsid w:val="00E86493"/>
    <w:rsid w:val="00E865DD"/>
    <w:rsid w:val="00E87BD9"/>
    <w:rsid w:val="00E953D6"/>
    <w:rsid w:val="00E96B39"/>
    <w:rsid w:val="00EA2944"/>
    <w:rsid w:val="00EA3B3A"/>
    <w:rsid w:val="00EA4B2B"/>
    <w:rsid w:val="00EA6D47"/>
    <w:rsid w:val="00EB0E85"/>
    <w:rsid w:val="00EB617B"/>
    <w:rsid w:val="00EB7BA4"/>
    <w:rsid w:val="00EC3189"/>
    <w:rsid w:val="00ED37D9"/>
    <w:rsid w:val="00ED4BB3"/>
    <w:rsid w:val="00ED6E02"/>
    <w:rsid w:val="00EE0CC0"/>
    <w:rsid w:val="00EE749F"/>
    <w:rsid w:val="00EE7C54"/>
    <w:rsid w:val="00EF4825"/>
    <w:rsid w:val="00EF4CDC"/>
    <w:rsid w:val="00EF586F"/>
    <w:rsid w:val="00EF7715"/>
    <w:rsid w:val="00F116EB"/>
    <w:rsid w:val="00F13DF0"/>
    <w:rsid w:val="00F165F4"/>
    <w:rsid w:val="00F22A39"/>
    <w:rsid w:val="00F25B33"/>
    <w:rsid w:val="00F3243E"/>
    <w:rsid w:val="00F33B90"/>
    <w:rsid w:val="00F34625"/>
    <w:rsid w:val="00F37382"/>
    <w:rsid w:val="00F452C9"/>
    <w:rsid w:val="00F511FA"/>
    <w:rsid w:val="00F51CED"/>
    <w:rsid w:val="00F55C5F"/>
    <w:rsid w:val="00F572E9"/>
    <w:rsid w:val="00F625D8"/>
    <w:rsid w:val="00F63451"/>
    <w:rsid w:val="00F70391"/>
    <w:rsid w:val="00F73348"/>
    <w:rsid w:val="00F755A4"/>
    <w:rsid w:val="00F80085"/>
    <w:rsid w:val="00F80615"/>
    <w:rsid w:val="00F84B61"/>
    <w:rsid w:val="00F851F7"/>
    <w:rsid w:val="00F90DFA"/>
    <w:rsid w:val="00F93387"/>
    <w:rsid w:val="00F952C5"/>
    <w:rsid w:val="00FA05C3"/>
    <w:rsid w:val="00FA1296"/>
    <w:rsid w:val="00FA5F61"/>
    <w:rsid w:val="00FB5F31"/>
    <w:rsid w:val="00FC37C7"/>
    <w:rsid w:val="00FC4944"/>
    <w:rsid w:val="00FC4C7F"/>
    <w:rsid w:val="00FC5735"/>
    <w:rsid w:val="00FC79FD"/>
    <w:rsid w:val="00FD40D6"/>
    <w:rsid w:val="00FE1E7F"/>
    <w:rsid w:val="00FE2562"/>
    <w:rsid w:val="00FF537F"/>
    <w:rsid w:val="0F7AC879"/>
    <w:rsid w:val="3AFF7CD7"/>
    <w:rsid w:val="5D7218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AEB"/>
    <w:pPr>
      <w:spacing w:after="120" w:line="276" w:lineRule="auto"/>
    </w:pPr>
    <w:rPr>
      <w:rFonts w:ascii="Times New Roman" w:eastAsia="Times New Roman" w:hAnsi="Times New Roman" w:cs="Times New Roman"/>
      <w:szCs w:val="24"/>
      <w:lang w:eastAsia="en-US"/>
    </w:rPr>
  </w:style>
  <w:style w:type="paragraph" w:styleId="Heading1">
    <w:name w:val="heading 1"/>
    <w:basedOn w:val="Normal"/>
    <w:next w:val="Normal"/>
    <w:link w:val="Heading1Char"/>
    <w:uiPriority w:val="9"/>
    <w:qFormat/>
    <w:rsid w:val="003D7AEB"/>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3D7AEB"/>
    <w:pPr>
      <w:keepNext/>
      <w:keepLines/>
      <w:numPr>
        <w:ilvl w:val="1"/>
        <w:numId w:val="1"/>
      </w:numPr>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3D7AEB"/>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3D7AEB"/>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3D7AE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3D7AEB"/>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3D7AEB"/>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3D7AEB"/>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3D7AEB"/>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3D7AEB"/>
    <w:pPr>
      <w:spacing w:after="0"/>
    </w:pPr>
    <w:rPr>
      <w:sz w:val="18"/>
      <w:szCs w:val="18"/>
    </w:rPr>
  </w:style>
  <w:style w:type="paragraph" w:styleId="BodyText">
    <w:name w:val="Body Text"/>
    <w:basedOn w:val="Normal"/>
    <w:link w:val="BodyTextChar"/>
    <w:qFormat/>
    <w:rsid w:val="003D7AEB"/>
    <w:pPr>
      <w:jc w:val="both"/>
    </w:pPr>
    <w:rPr>
      <w:rFonts w:eastAsia="MS Mincho"/>
    </w:rPr>
  </w:style>
  <w:style w:type="character" w:styleId="CommentReference">
    <w:name w:val="annotation reference"/>
    <w:qFormat/>
    <w:rsid w:val="003D7AE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3D7AEB"/>
    <w:pPr>
      <w:spacing w:after="0"/>
    </w:pPr>
    <w:rPr>
      <w:szCs w:val="20"/>
    </w:rPr>
  </w:style>
  <w:style w:type="paragraph" w:styleId="CommentSubject">
    <w:name w:val="annotation subject"/>
    <w:basedOn w:val="CommentText"/>
    <w:next w:val="CommentText"/>
    <w:link w:val="CommentSubjectChar"/>
    <w:uiPriority w:val="99"/>
    <w:semiHidden/>
    <w:unhideWhenUsed/>
    <w:qFormat/>
    <w:rsid w:val="003D7AEB"/>
    <w:pPr>
      <w:spacing w:after="120"/>
    </w:pPr>
    <w:rPr>
      <w:b/>
      <w:bCs/>
      <w:szCs w:val="24"/>
    </w:rPr>
  </w:style>
  <w:style w:type="paragraph" w:styleId="DocumentMap">
    <w:name w:val="Document Map"/>
    <w:basedOn w:val="Normal"/>
    <w:link w:val="DocumentMapChar"/>
    <w:uiPriority w:val="99"/>
    <w:semiHidden/>
    <w:unhideWhenUsed/>
    <w:qFormat/>
    <w:rsid w:val="003D7AEB"/>
    <w:pPr>
      <w:spacing w:after="0"/>
    </w:pPr>
    <w:rPr>
      <w:rFonts w:ascii="Tahoma" w:hAnsi="Tahoma" w:cs="Tahoma"/>
      <w:sz w:val="16"/>
      <w:szCs w:val="16"/>
    </w:rPr>
  </w:style>
  <w:style w:type="paragraph" w:styleId="Footer">
    <w:name w:val="footer"/>
    <w:basedOn w:val="Normal"/>
    <w:link w:val="FooterChar"/>
    <w:uiPriority w:val="99"/>
    <w:unhideWhenUsed/>
    <w:qFormat/>
    <w:rsid w:val="003D7AEB"/>
    <w:pPr>
      <w:tabs>
        <w:tab w:val="center" w:pos="4153"/>
        <w:tab w:val="right" w:pos="8306"/>
      </w:tabs>
      <w:snapToGrid w:val="0"/>
    </w:pPr>
    <w:rPr>
      <w:sz w:val="18"/>
      <w:szCs w:val="18"/>
    </w:rPr>
  </w:style>
  <w:style w:type="paragraph" w:styleId="Header">
    <w:name w:val="header"/>
    <w:basedOn w:val="Normal"/>
    <w:link w:val="HeaderChar"/>
    <w:qFormat/>
    <w:rsid w:val="003D7AEB"/>
    <w:pPr>
      <w:tabs>
        <w:tab w:val="center" w:pos="4536"/>
        <w:tab w:val="right" w:pos="9072"/>
      </w:tabs>
      <w:spacing w:after="0"/>
    </w:pPr>
    <w:rPr>
      <w:rFonts w:ascii="Arial" w:eastAsia="MS Mincho" w:hAnsi="Arial"/>
      <w:b/>
    </w:rPr>
  </w:style>
  <w:style w:type="character" w:styleId="Hyperlink">
    <w:name w:val="Hyperlink"/>
    <w:uiPriority w:val="99"/>
    <w:qFormat/>
    <w:rsid w:val="003D7AEB"/>
    <w:rPr>
      <w:color w:val="0000FF"/>
      <w:u w:val="single"/>
    </w:rPr>
  </w:style>
  <w:style w:type="table" w:styleId="TableGrid">
    <w:name w:val="Table Grid"/>
    <w:basedOn w:val="TableNormal"/>
    <w:uiPriority w:val="39"/>
    <w:qFormat/>
    <w:rsid w:val="003D7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3D7AEB"/>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3D7AEB"/>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3D7AEB"/>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3D7AEB"/>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3D7AEB"/>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3D7AEB"/>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3D7AEB"/>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3D7AEB"/>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3D7AEB"/>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3D7AEB"/>
    <w:rPr>
      <w:rFonts w:ascii="Arial" w:eastAsia="MS Mincho" w:hAnsi="Arial" w:cs="Times New Roman"/>
      <w:b/>
      <w:kern w:val="0"/>
      <w:sz w:val="20"/>
      <w:szCs w:val="24"/>
      <w:lang w:eastAsia="en-US"/>
    </w:rPr>
  </w:style>
  <w:style w:type="character" w:customStyle="1" w:styleId="BodyTextChar">
    <w:name w:val="Body Text Char"/>
    <w:basedOn w:val="DefaultParagraphFont"/>
    <w:link w:val="BodyText"/>
    <w:qFormat/>
    <w:rsid w:val="003D7AEB"/>
    <w:rPr>
      <w:rFonts w:ascii="Times New Roman" w:eastAsia="MS Mincho" w:hAnsi="Times New Roman" w:cs="Times New Roman"/>
      <w:kern w:val="0"/>
      <w:sz w:val="20"/>
      <w:szCs w:val="24"/>
      <w:lang w:eastAsia="en-US"/>
    </w:rPr>
  </w:style>
  <w:style w:type="paragraph" w:styleId="ListParagraph">
    <w:name w:val="List Paragraph"/>
    <w:basedOn w:val="Normal"/>
    <w:link w:val="ListParagraphChar"/>
    <w:uiPriority w:val="34"/>
    <w:qFormat/>
    <w:rsid w:val="003D7AEB"/>
    <w:pPr>
      <w:numPr>
        <w:numId w:val="2"/>
      </w:numPr>
      <w:jc w:val="both"/>
    </w:pPr>
    <w:rPr>
      <w:rFonts w:eastAsia="SimSun" w:cs="SimSun"/>
      <w:szCs w:val="20"/>
      <w:lang w:eastAsia="zh-CN"/>
    </w:rPr>
  </w:style>
  <w:style w:type="character" w:customStyle="1" w:styleId="ListParagraphChar">
    <w:name w:val="List Paragraph Char"/>
    <w:link w:val="ListParagraph"/>
    <w:uiPriority w:val="34"/>
    <w:qFormat/>
    <w:locked/>
    <w:rsid w:val="003D7AEB"/>
    <w:rPr>
      <w:rFonts w:ascii="Times New Roman" w:eastAsia="SimSun" w:hAnsi="Times New Roman" w:cs="SimSun"/>
      <w:kern w:val="0"/>
      <w:sz w:val="20"/>
      <w:szCs w:val="20"/>
    </w:rPr>
  </w:style>
  <w:style w:type="character" w:customStyle="1" w:styleId="CommentTextChar">
    <w:name w:val="Comment Text Char"/>
    <w:basedOn w:val="DefaultParagraphFont"/>
    <w:link w:val="CommentText"/>
    <w:qFormat/>
    <w:rsid w:val="003D7AEB"/>
    <w:rPr>
      <w:rFonts w:ascii="Times New Roman" w:eastAsia="Times New Roman" w:hAnsi="Times New Roman" w:cs="Times New Roman"/>
      <w:kern w:val="0"/>
      <w:sz w:val="20"/>
      <w:szCs w:val="20"/>
      <w:lang w:eastAsia="en-US"/>
    </w:rPr>
  </w:style>
  <w:style w:type="character" w:customStyle="1" w:styleId="BalloonTextChar">
    <w:name w:val="Balloon Text Char"/>
    <w:basedOn w:val="DefaultParagraphFont"/>
    <w:link w:val="BalloonText"/>
    <w:uiPriority w:val="99"/>
    <w:semiHidden/>
    <w:qFormat/>
    <w:rsid w:val="003D7AEB"/>
    <w:rPr>
      <w:rFonts w:ascii="Times New Roman" w:eastAsia="Times New Roman" w:hAnsi="Times New Roman" w:cs="Times New Roman"/>
      <w:kern w:val="0"/>
      <w:sz w:val="18"/>
      <w:szCs w:val="18"/>
      <w:lang w:eastAsia="en-US"/>
    </w:rPr>
  </w:style>
  <w:style w:type="character" w:customStyle="1" w:styleId="FooterChar">
    <w:name w:val="Footer Char"/>
    <w:basedOn w:val="DefaultParagraphFont"/>
    <w:link w:val="Footer"/>
    <w:uiPriority w:val="99"/>
    <w:qFormat/>
    <w:rsid w:val="003D7AEB"/>
    <w:rPr>
      <w:rFonts w:ascii="Times New Roman" w:eastAsia="Times New Roman" w:hAnsi="Times New Roman" w:cs="Times New Roman"/>
      <w:kern w:val="0"/>
      <w:sz w:val="18"/>
      <w:szCs w:val="18"/>
      <w:lang w:eastAsia="en-US"/>
    </w:rPr>
  </w:style>
  <w:style w:type="character" w:customStyle="1" w:styleId="CommentSubjectChar">
    <w:name w:val="Comment Subject Char"/>
    <w:basedOn w:val="CommentTextChar"/>
    <w:link w:val="CommentSubject"/>
    <w:uiPriority w:val="99"/>
    <w:semiHidden/>
    <w:qFormat/>
    <w:rsid w:val="003D7AEB"/>
    <w:rPr>
      <w:rFonts w:ascii="Times New Roman" w:eastAsia="Times New Roman" w:hAnsi="Times New Roman" w:cs="Times New Roman"/>
      <w:b/>
      <w:bCs/>
      <w:kern w:val="0"/>
      <w:sz w:val="20"/>
      <w:szCs w:val="24"/>
      <w:lang w:eastAsia="en-US"/>
    </w:rPr>
  </w:style>
  <w:style w:type="character" w:customStyle="1" w:styleId="DocumentMapChar">
    <w:name w:val="Document Map Char"/>
    <w:basedOn w:val="DefaultParagraphFont"/>
    <w:link w:val="DocumentMap"/>
    <w:uiPriority w:val="99"/>
    <w:semiHidden/>
    <w:qFormat/>
    <w:rsid w:val="003D7AEB"/>
    <w:rPr>
      <w:rFonts w:ascii="Tahoma" w:eastAsia="Times New Roman" w:hAnsi="Tahoma" w:cs="Tahoma"/>
      <w:kern w:val="0"/>
      <w:sz w:val="16"/>
      <w:szCs w:val="16"/>
      <w:lang w:eastAsia="en-US"/>
    </w:rPr>
  </w:style>
  <w:style w:type="character" w:styleId="PlaceholderText">
    <w:name w:val="Placeholder Text"/>
    <w:basedOn w:val="DefaultParagraphFont"/>
    <w:uiPriority w:val="99"/>
    <w:unhideWhenUsed/>
    <w:qFormat/>
    <w:rsid w:val="003D7AEB"/>
    <w:rPr>
      <w:color w:val="808080"/>
    </w:rPr>
  </w:style>
  <w:style w:type="paragraph" w:customStyle="1" w:styleId="Agreement">
    <w:name w:val="Agreement"/>
    <w:basedOn w:val="Normal"/>
    <w:qFormat/>
    <w:rsid w:val="003D7AEB"/>
    <w:pPr>
      <w:numPr>
        <w:numId w:val="3"/>
      </w:numPr>
      <w:spacing w:before="60" w:after="0" w:line="360" w:lineRule="auto"/>
      <w:ind w:left="1980"/>
    </w:pPr>
    <w:rPr>
      <w:rFonts w:ascii="Arial" w:eastAsiaTheme="minorHAnsi" w:hAnsi="Arial" w:cs="Arial"/>
      <w:b/>
      <w:bCs/>
      <w:szCs w:val="20"/>
      <w:lang w:eastAsia="en-GB"/>
    </w:rPr>
  </w:style>
  <w:style w:type="paragraph" w:customStyle="1" w:styleId="B1">
    <w:name w:val="B1"/>
    <w:basedOn w:val="Normal"/>
    <w:link w:val="B1Zchn"/>
    <w:qFormat/>
    <w:rsid w:val="003D7AEB"/>
    <w:pPr>
      <w:spacing w:after="180" w:line="240" w:lineRule="auto"/>
      <w:ind w:left="568" w:hanging="284"/>
    </w:pPr>
    <w:rPr>
      <w:rFonts w:eastAsia="SimSun"/>
      <w:szCs w:val="20"/>
    </w:rPr>
  </w:style>
  <w:style w:type="character" w:customStyle="1" w:styleId="B1Zchn">
    <w:name w:val="B1 Zchn"/>
    <w:link w:val="B1"/>
    <w:qFormat/>
    <w:rsid w:val="003D7AEB"/>
    <w:rPr>
      <w:rFonts w:ascii="Times New Roman" w:eastAsia="SimSun" w:hAnsi="Times New Roman" w:cs="Times New Roman"/>
      <w:lang w:eastAsia="en-US"/>
    </w:rPr>
  </w:style>
  <w:style w:type="paragraph" w:customStyle="1" w:styleId="TAL">
    <w:name w:val="TAL"/>
    <w:basedOn w:val="Normal"/>
    <w:link w:val="TALChar"/>
    <w:qFormat/>
    <w:rsid w:val="003D7AEB"/>
    <w:pPr>
      <w:keepNext/>
      <w:keepLines/>
      <w:spacing w:after="0" w:line="240" w:lineRule="auto"/>
    </w:pPr>
    <w:rPr>
      <w:rFonts w:ascii="Arial" w:eastAsiaTheme="minorEastAsia" w:hAnsi="Arial"/>
      <w:sz w:val="18"/>
      <w:szCs w:val="20"/>
      <w:lang w:val="en-GB"/>
    </w:rPr>
  </w:style>
  <w:style w:type="paragraph" w:customStyle="1" w:styleId="TAC">
    <w:name w:val="TAC"/>
    <w:basedOn w:val="TAL"/>
    <w:link w:val="TACChar"/>
    <w:qFormat/>
    <w:rsid w:val="003D7AEB"/>
    <w:pPr>
      <w:jc w:val="center"/>
    </w:pPr>
  </w:style>
  <w:style w:type="paragraph" w:customStyle="1" w:styleId="TH">
    <w:name w:val="TH"/>
    <w:basedOn w:val="Normal"/>
    <w:link w:val="THChar"/>
    <w:qFormat/>
    <w:rsid w:val="003D7AEB"/>
    <w:pPr>
      <w:keepNext/>
      <w:keepLines/>
      <w:spacing w:before="60" w:after="180" w:line="240" w:lineRule="auto"/>
      <w:jc w:val="center"/>
    </w:pPr>
    <w:rPr>
      <w:rFonts w:ascii="Arial" w:eastAsiaTheme="minorEastAsia" w:hAnsi="Arial"/>
      <w:b/>
      <w:szCs w:val="20"/>
      <w:lang w:val="en-GB"/>
    </w:rPr>
  </w:style>
  <w:style w:type="paragraph" w:customStyle="1" w:styleId="TAN">
    <w:name w:val="TAN"/>
    <w:basedOn w:val="TAL"/>
    <w:link w:val="TANChar"/>
    <w:qFormat/>
    <w:rsid w:val="003D7AEB"/>
    <w:pPr>
      <w:ind w:left="851" w:hanging="851"/>
    </w:pPr>
  </w:style>
  <w:style w:type="character" w:customStyle="1" w:styleId="THChar">
    <w:name w:val="TH Char"/>
    <w:link w:val="TH"/>
    <w:qFormat/>
    <w:rsid w:val="003D7AEB"/>
    <w:rPr>
      <w:rFonts w:ascii="Arial" w:hAnsi="Arial" w:cs="Times New Roman"/>
      <w:b/>
      <w:lang w:val="en-GB" w:eastAsia="en-US"/>
    </w:rPr>
  </w:style>
  <w:style w:type="character" w:customStyle="1" w:styleId="TACChar">
    <w:name w:val="TAC Char"/>
    <w:link w:val="TAC"/>
    <w:qFormat/>
    <w:rsid w:val="003D7AEB"/>
    <w:rPr>
      <w:rFonts w:ascii="Arial" w:hAnsi="Arial" w:cs="Times New Roman"/>
      <w:sz w:val="18"/>
      <w:lang w:val="en-GB" w:eastAsia="en-US"/>
    </w:rPr>
  </w:style>
  <w:style w:type="character" w:customStyle="1" w:styleId="TANChar">
    <w:name w:val="TAN Char"/>
    <w:link w:val="TAN"/>
    <w:qFormat/>
    <w:rsid w:val="003D7AEB"/>
    <w:rPr>
      <w:rFonts w:ascii="Arial" w:hAnsi="Arial" w:cs="Times New Roman"/>
      <w:sz w:val="18"/>
      <w:lang w:val="en-GB" w:eastAsia="en-US"/>
    </w:rPr>
  </w:style>
  <w:style w:type="character" w:customStyle="1" w:styleId="TALChar">
    <w:name w:val="TAL Char"/>
    <w:link w:val="TAL"/>
    <w:qFormat/>
    <w:rsid w:val="003D7AEB"/>
    <w:rPr>
      <w:rFonts w:ascii="Arial" w:hAnsi="Arial" w:cs="Times New Roman"/>
      <w:sz w:val="18"/>
      <w:lang w:val="en-GB" w:eastAsia="en-US"/>
    </w:rPr>
  </w:style>
  <w:style w:type="paragraph" w:customStyle="1" w:styleId="00Text">
    <w:name w:val="00_Text"/>
    <w:basedOn w:val="Normal"/>
    <w:link w:val="00TextChar"/>
    <w:qFormat/>
    <w:rsid w:val="003D7AEB"/>
    <w:pPr>
      <w:spacing w:before="120" w:line="264" w:lineRule="auto"/>
      <w:jc w:val="both"/>
    </w:pPr>
    <w:rPr>
      <w:rFonts w:eastAsia="SimSun"/>
      <w:lang w:eastAsia="zh-CN"/>
    </w:rPr>
  </w:style>
  <w:style w:type="character" w:customStyle="1" w:styleId="00TextChar">
    <w:name w:val="00_Text Char"/>
    <w:basedOn w:val="DefaultParagraphFont"/>
    <w:link w:val="00Text"/>
    <w:qFormat/>
    <w:rsid w:val="003D7AEB"/>
    <w:rPr>
      <w:rFonts w:ascii="Times New Roman" w:eastAsia="SimSun" w:hAnsi="Times New Roman" w:cs="Times New Roman"/>
      <w:szCs w:val="24"/>
    </w:rPr>
  </w:style>
  <w:style w:type="table" w:customStyle="1" w:styleId="TableGrid7">
    <w:name w:val="Table Grid7"/>
    <w:basedOn w:val="TableNormal"/>
    <w:uiPriority w:val="39"/>
    <w:qFormat/>
    <w:rsid w:val="003D7AEB"/>
    <w:pPr>
      <w:spacing w:after="160" w:line="259" w:lineRule="auto"/>
    </w:pPr>
    <w:rPr>
      <w:rFonts w:ascii="Calibri" w:eastAsia="等线"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724</TotalTime>
  <Pages>6</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69</cp:revision>
  <dcterms:created xsi:type="dcterms:W3CDTF">2022-08-10T19:35:00Z</dcterms:created>
  <dcterms:modified xsi:type="dcterms:W3CDTF">2022-09-29T19:32:00Z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